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706FA2" w14:textId="4B6D9F64"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C55A12">
        <w:rPr>
          <w:bCs/>
          <w:noProof w:val="0"/>
          <w:sz w:val="24"/>
          <w:szCs w:val="24"/>
        </w:rPr>
        <w:t>3</w:t>
      </w:r>
      <w:r w:rsidR="00971375">
        <w:rPr>
          <w:bCs/>
          <w:noProof w:val="0"/>
          <w:sz w:val="24"/>
          <w:szCs w:val="24"/>
        </w:rPr>
        <w:t>bis</w:t>
      </w:r>
      <w:r w:rsidR="00244A05">
        <w:rPr>
          <w:bCs/>
          <w:noProof w:val="0"/>
          <w:sz w:val="24"/>
          <w:szCs w:val="24"/>
        </w:rPr>
        <w:t xml:space="preserve">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Pr>
          <w:bCs/>
          <w:noProof w:val="0"/>
          <w:sz w:val="24"/>
          <w:szCs w:val="24"/>
        </w:rPr>
        <w:t>2</w:t>
      </w:r>
      <w:r w:rsidR="00C55A12">
        <w:rPr>
          <w:bCs/>
          <w:noProof w:val="0"/>
          <w:sz w:val="24"/>
          <w:szCs w:val="24"/>
        </w:rPr>
        <w:t>10</w:t>
      </w:r>
      <w:r w:rsidR="00F9505C">
        <w:rPr>
          <w:bCs/>
          <w:noProof w:val="0"/>
          <w:sz w:val="24"/>
          <w:szCs w:val="24"/>
        </w:rPr>
        <w:t>3335</w:t>
      </w:r>
    </w:p>
    <w:p w14:paraId="11776FA6" w14:textId="1A7533D1" w:rsidR="00A209D6" w:rsidRPr="00465587" w:rsidRDefault="009928A9" w:rsidP="00A209D6">
      <w:pPr>
        <w:pStyle w:val="Header"/>
        <w:tabs>
          <w:tab w:val="right" w:pos="9639"/>
        </w:tabs>
        <w:rPr>
          <w:rFonts w:eastAsia="SimSun"/>
          <w:bCs/>
          <w:sz w:val="24"/>
          <w:szCs w:val="24"/>
          <w:lang w:eastAsia="zh-CN"/>
        </w:rPr>
      </w:pPr>
      <w:r>
        <w:rPr>
          <w:rFonts w:eastAsia="SimSun"/>
          <w:bCs/>
          <w:sz w:val="24"/>
          <w:szCs w:val="24"/>
          <w:lang w:eastAsia="zh-CN"/>
        </w:rPr>
        <w:t>Elbonia</w:t>
      </w:r>
      <w:r w:rsidR="006574C0" w:rsidRPr="006574C0">
        <w:rPr>
          <w:rFonts w:eastAsia="SimSun"/>
          <w:bCs/>
          <w:sz w:val="24"/>
          <w:szCs w:val="24"/>
          <w:lang w:eastAsia="zh-CN"/>
        </w:rPr>
        <w:t xml:space="preserve">, </w:t>
      </w:r>
      <w:r w:rsidR="00923740">
        <w:rPr>
          <w:rFonts w:eastAsia="SimSun"/>
          <w:bCs/>
          <w:sz w:val="24"/>
          <w:szCs w:val="24"/>
          <w:lang w:eastAsia="zh-CN"/>
        </w:rPr>
        <w:t>1</w:t>
      </w:r>
      <w:r w:rsidR="00FE106D" w:rsidRPr="00FE106D">
        <w:rPr>
          <w:rFonts w:eastAsia="SimSun"/>
          <w:bCs/>
          <w:sz w:val="24"/>
          <w:szCs w:val="24"/>
          <w:lang w:eastAsia="zh-CN"/>
        </w:rPr>
        <w:t>2</w:t>
      </w:r>
      <w:r w:rsidR="00923740">
        <w:rPr>
          <w:rFonts w:eastAsia="SimSun"/>
          <w:bCs/>
          <w:sz w:val="24"/>
          <w:szCs w:val="24"/>
          <w:lang w:eastAsia="zh-CN"/>
        </w:rPr>
        <w:t xml:space="preserve"> – 20 of April 2021</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66BCCFDA"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923740">
        <w:rPr>
          <w:rFonts w:cs="Arial"/>
          <w:b/>
          <w:bCs/>
          <w:sz w:val="24"/>
          <w:lang w:eastAsia="ja-JP"/>
        </w:rPr>
        <w:t>8.10.3.</w:t>
      </w:r>
      <w:r w:rsidR="00C91605">
        <w:rPr>
          <w:rFonts w:cs="Arial"/>
          <w:b/>
          <w:bCs/>
          <w:sz w:val="24"/>
          <w:lang w:eastAsia="ja-JP"/>
        </w:rPr>
        <w:t>3</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7C990D63"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923740">
        <w:rPr>
          <w:rFonts w:ascii="Arial" w:hAnsi="Arial" w:cs="Arial"/>
          <w:b/>
          <w:bCs/>
          <w:sz w:val="24"/>
        </w:rPr>
        <w:t>On connected mode mobility for NTN</w:t>
      </w:r>
    </w:p>
    <w:p w14:paraId="1F147C23" w14:textId="486427EC"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923740">
        <w:rPr>
          <w:rFonts w:ascii="Arial" w:hAnsi="Arial" w:cs="Arial"/>
          <w:b/>
          <w:bCs/>
          <w:sz w:val="24"/>
        </w:rPr>
        <w:t>NR_NTN_solutions-Core - Release 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50F2C746" w14:textId="042CA79C" w:rsidR="00923740" w:rsidRDefault="00923740" w:rsidP="00A209D6">
      <w:r>
        <w:t>Connected mode mobility for NTN has been discussed at RAN2</w:t>
      </w:r>
      <w:r>
        <w:rPr>
          <w:lang w:val="pl-PL"/>
        </w:rPr>
        <w:t>#</w:t>
      </w:r>
      <w:r>
        <w:t xml:space="preserve">113 via offline thread [106], report available in [1]. </w:t>
      </w:r>
      <w:r w:rsidR="00AC45D6">
        <w:t>Unfortunately, the</w:t>
      </w:r>
      <w:r w:rsidR="00B71370">
        <w:t>re was virtually no decision taken as a result of this discussion. The sole agreement looks as follows:</w:t>
      </w:r>
    </w:p>
    <w:tbl>
      <w:tblPr>
        <w:tblStyle w:val="TableGrid"/>
        <w:tblW w:w="0" w:type="auto"/>
        <w:tblLook w:val="04A0" w:firstRow="1" w:lastRow="0" w:firstColumn="1" w:lastColumn="0" w:noHBand="0" w:noVBand="1"/>
      </w:tblPr>
      <w:tblGrid>
        <w:gridCol w:w="9631"/>
      </w:tblGrid>
      <w:tr w:rsidR="00B71370" w14:paraId="77351A2F" w14:textId="77777777" w:rsidTr="00B71370">
        <w:tc>
          <w:tcPr>
            <w:tcW w:w="9631" w:type="dxa"/>
          </w:tcPr>
          <w:p w14:paraId="0ACA90C6" w14:textId="77777777" w:rsidR="00C219A0" w:rsidRDefault="00C219A0" w:rsidP="00C219A0">
            <w:r>
              <w:t>Agreements:</w:t>
            </w:r>
          </w:p>
          <w:p w14:paraId="3C788939" w14:textId="1820A1EC" w:rsidR="00B71370" w:rsidRDefault="00C219A0" w:rsidP="00C219A0">
            <w:r>
              <w:t>1.</w:t>
            </w:r>
            <w:r>
              <w:tab/>
              <w:t>Support A4 event for NTN CHO. FFS whether other triggers need to be combined with this.</w:t>
            </w:r>
          </w:p>
        </w:tc>
      </w:tr>
    </w:tbl>
    <w:p w14:paraId="31EC6E66" w14:textId="1D788750" w:rsidR="007F2E08" w:rsidRDefault="00C219A0" w:rsidP="00A209D6">
      <w:r>
        <w:br/>
        <w:t>This paper provides Nokia’s view regarding the measurements and triggering of CHO for Rel-17 NTN.</w:t>
      </w:r>
    </w:p>
    <w:p w14:paraId="4F547731" w14:textId="791FEED7" w:rsidR="00A209D6" w:rsidRPr="006E13D1" w:rsidRDefault="00A209D6" w:rsidP="00B7538C">
      <w:pPr>
        <w:pStyle w:val="Heading1"/>
      </w:pPr>
      <w:r w:rsidRPr="006E13D1">
        <w:t>2</w:t>
      </w:r>
      <w:r w:rsidRPr="006E13D1">
        <w:tab/>
      </w:r>
      <w:r w:rsidR="00C219A0">
        <w:t>Discussion</w:t>
      </w:r>
    </w:p>
    <w:p w14:paraId="5F01C058" w14:textId="3138DCDC" w:rsidR="00A209D6" w:rsidRPr="006E13D1" w:rsidRDefault="00B7538C" w:rsidP="00A209D6">
      <w:pPr>
        <w:pStyle w:val="Heading2"/>
      </w:pPr>
      <w:r>
        <w:t>2</w:t>
      </w:r>
      <w:r w:rsidR="00A209D6" w:rsidRPr="006E13D1">
        <w:t>.1</w:t>
      </w:r>
      <w:r w:rsidR="00A209D6" w:rsidRPr="006E13D1">
        <w:tab/>
      </w:r>
      <w:r w:rsidR="006B6DAA">
        <w:t>Timing-related</w:t>
      </w:r>
      <w:r w:rsidR="00395D6A">
        <w:t xml:space="preserve"> events for measurement report or CHO triggering</w:t>
      </w:r>
    </w:p>
    <w:p w14:paraId="33EBE59C" w14:textId="5C76E462" w:rsidR="00395D6A" w:rsidRDefault="00395D6A" w:rsidP="00B7538C">
      <w:r>
        <w:t xml:space="preserve">One of the topics that was heavily debated in [1] was whether to introduce new events and if those shall be combined with other existing events. As per the decisions taken in November 2020, the following </w:t>
      </w:r>
      <w:r w:rsidR="008C11AB">
        <w:t xml:space="preserve">time-based </w:t>
      </w:r>
      <w:r>
        <w:t>events and combinations thereof are supported:</w:t>
      </w:r>
    </w:p>
    <w:tbl>
      <w:tblPr>
        <w:tblStyle w:val="TableGrid"/>
        <w:tblW w:w="0" w:type="auto"/>
        <w:tblLook w:val="04A0" w:firstRow="1" w:lastRow="0" w:firstColumn="1" w:lastColumn="0" w:noHBand="0" w:noVBand="1"/>
      </w:tblPr>
      <w:tblGrid>
        <w:gridCol w:w="9631"/>
      </w:tblGrid>
      <w:tr w:rsidR="00395D6A" w14:paraId="4751EF7F" w14:textId="77777777" w:rsidTr="00395D6A">
        <w:tc>
          <w:tcPr>
            <w:tcW w:w="9631" w:type="dxa"/>
          </w:tcPr>
          <w:p w14:paraId="5DF2D13D" w14:textId="5A7F6F09" w:rsidR="00395D6A" w:rsidRDefault="00395D6A" w:rsidP="00395D6A">
            <w:r w:rsidRPr="00395D6A">
              <w:t>1.</w:t>
            </w:r>
            <w:r w:rsidRPr="00395D6A">
              <w:tab/>
              <w:t>Time or timer based CHO triggering event, in combination with the existing R16 CHO measurement based event, should be introduced for both moving cell and fixed cell scenario.  FFS on how to configure the time or timer based CHO triggering event. Also FFS how to consider the feeder/service link switch timing.</w:t>
            </w:r>
          </w:p>
        </w:tc>
      </w:tr>
    </w:tbl>
    <w:p w14:paraId="523F19CB" w14:textId="582465C2" w:rsidR="000B7324" w:rsidRDefault="008C11AB" w:rsidP="00B7538C">
      <w:r>
        <w:br/>
      </w:r>
      <w:r w:rsidR="000B7324">
        <w:t>It remains FFS how the time or timer is actually defined. There may be various aspects to consider here:</w:t>
      </w:r>
    </w:p>
    <w:p w14:paraId="383565DA" w14:textId="6E6D00FA" w:rsidR="000B7324" w:rsidRDefault="000B7324" w:rsidP="000B7324">
      <w:pPr>
        <w:pStyle w:val="ListParagraph"/>
        <w:numPr>
          <w:ilvl w:val="0"/>
          <w:numId w:val="8"/>
        </w:numPr>
      </w:pPr>
      <w:r>
        <w:t>Absolute time</w:t>
      </w:r>
    </w:p>
    <w:p w14:paraId="66CB6D5B" w14:textId="616998A7" w:rsidR="000B7324" w:rsidRDefault="000B7324" w:rsidP="000B7324">
      <w:pPr>
        <w:pStyle w:val="ListParagraph"/>
        <w:numPr>
          <w:ilvl w:val="0"/>
          <w:numId w:val="8"/>
        </w:numPr>
      </w:pPr>
      <w:r>
        <w:t>Timer</w:t>
      </w:r>
    </w:p>
    <w:p w14:paraId="2E9F2847" w14:textId="5E3284E3" w:rsidR="000B7324" w:rsidRDefault="000B7324" w:rsidP="000B7324">
      <w:pPr>
        <w:pStyle w:val="ListParagraph"/>
        <w:numPr>
          <w:ilvl w:val="0"/>
          <w:numId w:val="8"/>
        </w:numPr>
      </w:pPr>
      <w:r>
        <w:t>Time range</w:t>
      </w:r>
    </w:p>
    <w:p w14:paraId="5320EA81" w14:textId="4AE7D405" w:rsidR="000B7324" w:rsidRDefault="000B7324" w:rsidP="000B7324">
      <w:r>
        <w:t>Additionally, this time-related information can be either related to the s</w:t>
      </w:r>
      <w:r w:rsidR="00CB5236">
        <w:t>ource</w:t>
      </w:r>
      <w:r>
        <w:t xml:space="preserve"> cell or target cell. Eventually, the applicability may be different</w:t>
      </w:r>
      <w:r w:rsidR="00FA1DFB">
        <w:t>, depending on the scenario: the solution may be feasible in Earth-fixed</w:t>
      </w:r>
      <w:r w:rsidR="009176AC">
        <w:t xml:space="preserve"> cells</w:t>
      </w:r>
      <w:r w:rsidR="00FA1DFB">
        <w:t xml:space="preserve"> scenario, but may not work well in Earth-moving</w:t>
      </w:r>
      <w:r w:rsidR="0046053C">
        <w:t xml:space="preserve"> (EMC)</w:t>
      </w:r>
      <w:r w:rsidR="00FA1DFB">
        <w:t xml:space="preserve"> NTN beams.</w:t>
      </w:r>
    </w:p>
    <w:p w14:paraId="295503F4" w14:textId="47889785" w:rsidR="00FA1DFB" w:rsidRPr="006B6DAA" w:rsidRDefault="006B6DAA" w:rsidP="000B7324">
      <w:pPr>
        <w:rPr>
          <w:b/>
          <w:bCs/>
        </w:rPr>
      </w:pPr>
      <w:r w:rsidRPr="006B6DAA">
        <w:rPr>
          <w:b/>
          <w:bCs/>
        </w:rPr>
        <w:t>Proposal</w:t>
      </w:r>
      <w:r w:rsidR="00FA1DFB" w:rsidRPr="006B6DAA">
        <w:rPr>
          <w:b/>
          <w:bCs/>
        </w:rPr>
        <w:t xml:space="preserve"> 1: </w:t>
      </w:r>
      <w:r w:rsidRPr="006B6DAA">
        <w:rPr>
          <w:b/>
          <w:bCs/>
        </w:rPr>
        <w:t>The design of time based event for NTN considers at least the following aspects: NTN scenario, time definition and whether it is related to source or target cell.</w:t>
      </w:r>
    </w:p>
    <w:p w14:paraId="3EA6E370" w14:textId="5E299B23" w:rsidR="006B6DAA" w:rsidRDefault="00CB5236" w:rsidP="000B7324">
      <w:r>
        <w:t>In most 3GPP use case</w:t>
      </w:r>
      <w:r w:rsidR="00F73CB1">
        <w:t>s</w:t>
      </w:r>
      <w:r>
        <w:t xml:space="preserve">, when time needs to be employed in the procedure, a timer is defined and configured appropriately per UE. The easiest approach would be to </w:t>
      </w:r>
      <w:r w:rsidR="00EB4628">
        <w:t xml:space="preserve">follow this approach, but for NTN use case </w:t>
      </w:r>
      <w:r w:rsidR="003D33C2">
        <w:t>it</w:t>
      </w:r>
      <w:r w:rsidR="00EB4628">
        <w:t xml:space="preserve"> </w:t>
      </w:r>
      <w:r w:rsidR="009176AC">
        <w:t>may</w:t>
      </w:r>
      <w:r w:rsidR="00EB4628">
        <w:t xml:space="preserve"> not</w:t>
      </w:r>
      <w:r w:rsidR="009176AC">
        <w:t xml:space="preserve"> be</w:t>
      </w:r>
      <w:r w:rsidR="00EB4628">
        <w:t xml:space="preserve"> so</w:t>
      </w:r>
      <w:r w:rsidR="009176AC">
        <w:t xml:space="preserve"> obvious and</w:t>
      </w:r>
      <w:r w:rsidR="00EB4628">
        <w:t xml:space="preserve"> straightforward</w:t>
      </w:r>
      <w:r w:rsidR="003D33C2">
        <w:t>,</w:t>
      </w:r>
      <w:r w:rsidR="00EB4628">
        <w:t xml:space="preserve"> </w:t>
      </w:r>
      <w:r w:rsidR="003D33C2">
        <w:t xml:space="preserve">at least </w:t>
      </w:r>
      <w:r w:rsidR="00EB4628">
        <w:t>due to the following reasons:</w:t>
      </w:r>
    </w:p>
    <w:p w14:paraId="22C77D05" w14:textId="77777777" w:rsidR="00491993" w:rsidRDefault="00535620" w:rsidP="00EB4628">
      <w:pPr>
        <w:pStyle w:val="ListParagraph"/>
        <w:numPr>
          <w:ilvl w:val="0"/>
          <w:numId w:val="9"/>
        </w:numPr>
      </w:pPr>
      <w:r>
        <w:t>Despite high velocity of the satellites (e.g. 7.5 km/s) it may</w:t>
      </w:r>
      <w:r w:rsidR="003D33C2">
        <w:t xml:space="preserve"> still</w:t>
      </w:r>
      <w:r>
        <w:t xml:space="preserve"> take several seconds until the target cell becomes available, which would lead to relatively long timers, run in parallel for multiple candidate cells</w:t>
      </w:r>
    </w:p>
    <w:p w14:paraId="11D9A770" w14:textId="259B2D28" w:rsidR="00EB4628" w:rsidRDefault="00491993" w:rsidP="00EB4628">
      <w:pPr>
        <w:pStyle w:val="ListParagraph"/>
        <w:numPr>
          <w:ilvl w:val="0"/>
          <w:numId w:val="9"/>
        </w:numPr>
      </w:pPr>
      <w:r>
        <w:lastRenderedPageBreak/>
        <w:t>A mechanism would be needed to verify the validity of the timer (value it is configured with) which would take into account the possible wrong estimation done by the NW or UE’s significant movement</w:t>
      </w:r>
    </w:p>
    <w:p w14:paraId="4DEB52D3" w14:textId="60F10F2C" w:rsidR="00EB4628" w:rsidRDefault="003D33C2" w:rsidP="00EB4628">
      <w:pPr>
        <w:pStyle w:val="ListParagraph"/>
        <w:numPr>
          <w:ilvl w:val="0"/>
          <w:numId w:val="9"/>
        </w:numPr>
      </w:pPr>
      <w:r>
        <w:t>In Earth-moving scenario</w:t>
      </w:r>
      <w:r w:rsidR="009176AC">
        <w:t xml:space="preserve"> (EMC)</w:t>
      </w:r>
      <w:r>
        <w:t xml:space="preserve"> the gNB would need to know each UE’s position to set the timer individually and with the sufficient accuracy</w:t>
      </w:r>
    </w:p>
    <w:p w14:paraId="3DDE45AE" w14:textId="6D63553F" w:rsidR="00491993" w:rsidRPr="009941B2" w:rsidRDefault="00491993" w:rsidP="00312F19">
      <w:pPr>
        <w:rPr>
          <w:b/>
          <w:bCs/>
        </w:rPr>
      </w:pPr>
      <w:r w:rsidRPr="009941B2">
        <w:rPr>
          <w:b/>
          <w:bCs/>
        </w:rPr>
        <w:t>Observation 1: The need to obtain the information on the UE location is not an issue for quasi-Earth-fixed cells scenario.</w:t>
      </w:r>
    </w:p>
    <w:p w14:paraId="72B27B38" w14:textId="7D31750A" w:rsidR="00F73CB1" w:rsidRDefault="00F64585" w:rsidP="00312F19">
      <w:r>
        <w:t>I</w:t>
      </w:r>
      <w:r w:rsidR="00F73CB1">
        <w:t>f RAN2 decide</w:t>
      </w:r>
      <w:r w:rsidR="007806CA">
        <w:t>s</w:t>
      </w:r>
      <w:r w:rsidR="00F73CB1">
        <w:t xml:space="preserve"> to adopt the timer approach, </w:t>
      </w:r>
      <w:r w:rsidR="007806CA">
        <w:t>the timer</w:t>
      </w:r>
      <w:r w:rsidR="00F73CB1">
        <w:t xml:space="preserve"> shall in</w:t>
      </w:r>
      <w:r w:rsidR="007806CA">
        <w:t>dicate</w:t>
      </w:r>
      <w:r w:rsidR="00F73CB1">
        <w:t xml:space="preserve"> since when the target cell can be accessed (i.e. when the UE can trigger the CHO execution towards associated cell)</w:t>
      </w:r>
      <w:r w:rsidR="007806CA">
        <w:t>. However, due to the uncertainties described above, this time</w:t>
      </w:r>
      <w:r w:rsidR="00AB1C1D">
        <w:t>r</w:t>
      </w:r>
      <w:r w:rsidR="007806CA">
        <w:t>-based triggering can</w:t>
      </w:r>
      <w:r w:rsidR="00F73CB1">
        <w:t xml:space="preserve"> only</w:t>
      </w:r>
      <w:r w:rsidR="007806CA">
        <w:t xml:space="preserve"> occur</w:t>
      </w:r>
      <w:r w:rsidR="00F73CB1">
        <w:t xml:space="preserve"> provided that the related radio-based measurement (i.e. Ax) is fulfilled simultaneously.</w:t>
      </w:r>
    </w:p>
    <w:p w14:paraId="34D110D6" w14:textId="7659D343" w:rsidR="007806CA" w:rsidRPr="007806CA" w:rsidRDefault="007806CA" w:rsidP="00312F19">
      <w:pPr>
        <w:rPr>
          <w:b/>
          <w:bCs/>
        </w:rPr>
      </w:pPr>
      <w:r w:rsidRPr="007806CA">
        <w:rPr>
          <w:b/>
          <w:bCs/>
        </w:rPr>
        <w:t xml:space="preserve">Proposal 2: </w:t>
      </w:r>
      <w:r w:rsidR="00AB1C1D">
        <w:rPr>
          <w:b/>
          <w:bCs/>
        </w:rPr>
        <w:t xml:space="preserve">Introduce the timer-based event, which should indicate since when </w:t>
      </w:r>
      <w:r w:rsidR="00AB1C1D" w:rsidRPr="00AB1C1D">
        <w:rPr>
          <w:b/>
          <w:bCs/>
        </w:rPr>
        <w:t>the target cell can be accessed</w:t>
      </w:r>
      <w:r w:rsidR="00AB1C1D">
        <w:rPr>
          <w:b/>
          <w:bCs/>
        </w:rPr>
        <w:t xml:space="preserve">. Timer-based event triggers the CHO only if </w:t>
      </w:r>
      <w:r w:rsidR="00AB1C1D" w:rsidRPr="00AB1C1D">
        <w:rPr>
          <w:b/>
          <w:bCs/>
        </w:rPr>
        <w:t>related radio-based measurement (i.e. Ax) is fulfilled simultaneously</w:t>
      </w:r>
      <w:r w:rsidR="00AB1C1D">
        <w:rPr>
          <w:b/>
          <w:bCs/>
        </w:rPr>
        <w:t>.</w:t>
      </w:r>
    </w:p>
    <w:p w14:paraId="452812AE" w14:textId="651ADD71" w:rsidR="007A2E55" w:rsidRDefault="00AB1C1D" w:rsidP="00312F19">
      <w:r>
        <w:t>The exact details can be postponed until Stage-3 is discussed for NTN. However, these events may be combined in a similar way two execution conditions for CHO Rel-16 have been introduced.</w:t>
      </w:r>
    </w:p>
    <w:p w14:paraId="52AE30FC" w14:textId="463CF821" w:rsidR="00AB1C1D" w:rsidRPr="00CA406C" w:rsidRDefault="00AB1C1D" w:rsidP="00312F19">
      <w:pPr>
        <w:rPr>
          <w:b/>
          <w:bCs/>
        </w:rPr>
      </w:pPr>
      <w:r w:rsidRPr="00CA406C">
        <w:rPr>
          <w:b/>
          <w:bCs/>
        </w:rPr>
        <w:t xml:space="preserve">Proposal 3: Timer- and radio-based execution conditions for NTN CHO can be combined </w:t>
      </w:r>
      <w:r w:rsidR="00CA406C">
        <w:rPr>
          <w:b/>
          <w:bCs/>
        </w:rPr>
        <w:t>in a similar way as defined for CHO Rel-16. To be decided when Stage-3 is pursued.</w:t>
      </w:r>
    </w:p>
    <w:p w14:paraId="7098F90D" w14:textId="66865B47" w:rsidR="00A209D6" w:rsidRPr="006E13D1" w:rsidRDefault="00B7538C" w:rsidP="00A209D6">
      <w:pPr>
        <w:pStyle w:val="Heading2"/>
      </w:pPr>
      <w:r>
        <w:t>2</w:t>
      </w:r>
      <w:r w:rsidR="00A209D6" w:rsidRPr="006E13D1">
        <w:t>.2</w:t>
      </w:r>
      <w:r w:rsidR="00A209D6" w:rsidRPr="006E13D1">
        <w:tab/>
      </w:r>
      <w:r w:rsidR="00312F19">
        <w:t>Location</w:t>
      </w:r>
      <w:r w:rsidR="00312F19" w:rsidRPr="00312F19">
        <w:t>-related events for measurement report or CHO triggering</w:t>
      </w:r>
    </w:p>
    <w:p w14:paraId="426CEA7A" w14:textId="5C740F79" w:rsidR="00E240A9" w:rsidRDefault="008C11AB" w:rsidP="007A2E55">
      <w:r>
        <w:t>In November 2020 also the location-based events have been agreed for NTN, as per the following decisions:</w:t>
      </w:r>
    </w:p>
    <w:tbl>
      <w:tblPr>
        <w:tblStyle w:val="TableGrid"/>
        <w:tblW w:w="0" w:type="auto"/>
        <w:tblLook w:val="04A0" w:firstRow="1" w:lastRow="0" w:firstColumn="1" w:lastColumn="0" w:noHBand="0" w:noVBand="1"/>
      </w:tblPr>
      <w:tblGrid>
        <w:gridCol w:w="9631"/>
      </w:tblGrid>
      <w:tr w:rsidR="00E240A9" w14:paraId="3CCA74AA" w14:textId="77777777" w:rsidTr="00E240A9">
        <w:tc>
          <w:tcPr>
            <w:tcW w:w="9631" w:type="dxa"/>
          </w:tcPr>
          <w:p w14:paraId="65D386B5" w14:textId="77777777" w:rsidR="00E240A9" w:rsidRDefault="00E240A9" w:rsidP="00E240A9">
            <w:r>
              <w:t>3.</w:t>
            </w:r>
            <w:r>
              <w:tab/>
              <w:t>Location based CHO triggering event, in combination with the existing R16 CHO measurement based event, should be introduced for both moving cell and fixed cell scenario. FFS on how to configure the location based CHO triggering event. FFS if location based CHO triggering event only (not in combination with other events) can also be considered.</w:t>
            </w:r>
          </w:p>
          <w:p w14:paraId="38E8246E" w14:textId="7EE3B0CE" w:rsidR="00E240A9" w:rsidRDefault="00E240A9" w:rsidP="00E240A9">
            <w:r>
              <w:t>4.</w:t>
            </w:r>
            <w:r>
              <w:tab/>
              <w:t>The Location-based measurement event, in combination with the existing measurement event in NR, should be supported in NTN for both moving cell and fixed cell scenarios. FFS on how to configure the location based measurement event.</w:t>
            </w:r>
          </w:p>
        </w:tc>
      </w:tr>
    </w:tbl>
    <w:p w14:paraId="40DA716C" w14:textId="77777777" w:rsidR="002976A9" w:rsidRDefault="001E6FCE" w:rsidP="00B7538C">
      <w:r>
        <w:br/>
      </w:r>
      <w:r w:rsidR="007C243C">
        <w:t>A similar open issue</w:t>
      </w:r>
      <w:r w:rsidR="00AC0DED">
        <w:t>,</w:t>
      </w:r>
      <w:r w:rsidR="007C243C">
        <w:t xml:space="preserve"> as was considered above for the time-based triggering,</w:t>
      </w:r>
      <w:r w:rsidR="00AC0DED">
        <w:t xml:space="preserve"> exists for using location in the CHO or measurement report triggering. </w:t>
      </w:r>
      <w:r w:rsidR="002976A9">
        <w:t>In [1] multiple definitions of location were considered:</w:t>
      </w:r>
    </w:p>
    <w:p w14:paraId="359CEA66" w14:textId="7A0BF359" w:rsidR="00B7538C" w:rsidRDefault="002976A9" w:rsidP="002976A9">
      <w:pPr>
        <w:pStyle w:val="ListParagraph"/>
        <w:numPr>
          <w:ilvl w:val="0"/>
          <w:numId w:val="10"/>
        </w:numPr>
      </w:pPr>
      <w:r>
        <w:t>Distance between the UE and the satellite</w:t>
      </w:r>
    </w:p>
    <w:p w14:paraId="3783A8D9" w14:textId="4FAF3951" w:rsidR="002976A9" w:rsidRDefault="002976A9" w:rsidP="002976A9">
      <w:pPr>
        <w:pStyle w:val="ListParagraph"/>
        <w:numPr>
          <w:ilvl w:val="0"/>
          <w:numId w:val="10"/>
        </w:numPr>
      </w:pPr>
      <w:r>
        <w:t>Distance between the UE and the cell center</w:t>
      </w:r>
      <w:r w:rsidR="009018E3">
        <w:t xml:space="preserve"> (either serving or the target)</w:t>
      </w:r>
    </w:p>
    <w:p w14:paraId="7D14602F" w14:textId="77777777" w:rsidR="00F40A6D" w:rsidRDefault="003072F4" w:rsidP="002976A9">
      <w:pPr>
        <w:pStyle w:val="ListParagraph"/>
        <w:numPr>
          <w:ilvl w:val="0"/>
          <w:numId w:val="10"/>
        </w:numPr>
      </w:pPr>
      <w:r>
        <w:t>Difference in the distance between the UE to its serving cell center and the UE to the target cell center</w:t>
      </w:r>
    </w:p>
    <w:p w14:paraId="18904AED" w14:textId="6E93A894" w:rsidR="000E1289" w:rsidRDefault="00176092" w:rsidP="00F40A6D">
      <w:r>
        <w:t>All of these options require</w:t>
      </w:r>
      <w:r w:rsidR="00127641">
        <w:t xml:space="preserve"> </w:t>
      </w:r>
      <w:r>
        <w:t>complex and continuous calculations</w:t>
      </w:r>
      <w:r w:rsidR="00127641">
        <w:t xml:space="preserve"> and may not be sufficient alone (i.e. without checking the radio measurements in addition). It sounds counter-intuitive to allow the UE to trigger the CHO based</w:t>
      </w:r>
      <w:r w:rsidR="006E798D">
        <w:t xml:space="preserve"> solely</w:t>
      </w:r>
      <w:r w:rsidR="00127641">
        <w:t xml:space="preserve"> on the</w:t>
      </w:r>
      <w:r w:rsidR="00957581">
        <w:t xml:space="preserve"> location criteria being fulfilled, irrespective of wh</w:t>
      </w:r>
      <w:r w:rsidR="00100EE5">
        <w:t xml:space="preserve">ether the radio conditions confirm the relevance of </w:t>
      </w:r>
      <w:r w:rsidR="006E798D">
        <w:t xml:space="preserve">taking </w:t>
      </w:r>
      <w:r w:rsidR="00100EE5">
        <w:t>such step.</w:t>
      </w:r>
      <w:r w:rsidR="00957581">
        <w:t xml:space="preserve"> </w:t>
      </w:r>
    </w:p>
    <w:p w14:paraId="1036B9C3" w14:textId="34C355B0" w:rsidR="003072F4" w:rsidRPr="000E1289" w:rsidRDefault="000E1289" w:rsidP="00F40A6D">
      <w:pPr>
        <w:rPr>
          <w:b/>
          <w:bCs/>
        </w:rPr>
      </w:pPr>
      <w:r w:rsidRPr="33638D92">
        <w:rPr>
          <w:b/>
          <w:bCs/>
        </w:rPr>
        <w:t xml:space="preserve">Observation </w:t>
      </w:r>
      <w:r w:rsidR="00904D57" w:rsidRPr="33638D92">
        <w:rPr>
          <w:b/>
          <w:bCs/>
        </w:rPr>
        <w:t>2</w:t>
      </w:r>
      <w:r w:rsidRPr="33638D92">
        <w:rPr>
          <w:b/>
          <w:bCs/>
        </w:rPr>
        <w:t xml:space="preserve">: </w:t>
      </w:r>
      <w:r w:rsidR="00100EE5" w:rsidRPr="33638D92">
        <w:rPr>
          <w:b/>
          <w:bCs/>
        </w:rPr>
        <w:t xml:space="preserve">Location-based event requires complex calculations of UE’s position versus satellite/cell center </w:t>
      </w:r>
      <w:r w:rsidR="00F64585" w:rsidRPr="33638D92">
        <w:rPr>
          <w:b/>
          <w:bCs/>
        </w:rPr>
        <w:t xml:space="preserve">(both the satellite </w:t>
      </w:r>
      <w:r w:rsidR="0046053C">
        <w:rPr>
          <w:b/>
          <w:bCs/>
        </w:rPr>
        <w:t>(</w:t>
      </w:r>
      <w:r w:rsidR="00F64585" w:rsidRPr="33638D92">
        <w:rPr>
          <w:b/>
          <w:bCs/>
        </w:rPr>
        <w:t>and cell center location</w:t>
      </w:r>
      <w:r w:rsidR="0046053C">
        <w:rPr>
          <w:b/>
          <w:bCs/>
        </w:rPr>
        <w:t xml:space="preserve"> in EMC)</w:t>
      </w:r>
      <w:r w:rsidR="00F64585" w:rsidRPr="33638D92">
        <w:rPr>
          <w:b/>
          <w:bCs/>
        </w:rPr>
        <w:t xml:space="preserve"> move very fast) </w:t>
      </w:r>
      <w:r w:rsidR="00100EE5" w:rsidRPr="33638D92">
        <w:rPr>
          <w:b/>
          <w:bCs/>
        </w:rPr>
        <w:t xml:space="preserve">while not being </w:t>
      </w:r>
      <w:r w:rsidR="006E798D" w:rsidRPr="33638D92">
        <w:rPr>
          <w:b/>
          <w:bCs/>
        </w:rPr>
        <w:t xml:space="preserve">sufficient to trigger </w:t>
      </w:r>
      <w:r w:rsidR="00F64585" w:rsidRPr="33638D92">
        <w:rPr>
          <w:b/>
          <w:bCs/>
        </w:rPr>
        <w:t xml:space="preserve">alone </w:t>
      </w:r>
      <w:r w:rsidR="006E798D" w:rsidRPr="33638D92">
        <w:rPr>
          <w:b/>
          <w:bCs/>
        </w:rPr>
        <w:t>the mobility event.</w:t>
      </w:r>
      <w:r w:rsidR="00100EE5" w:rsidRPr="33638D92">
        <w:rPr>
          <w:b/>
          <w:bCs/>
        </w:rPr>
        <w:t xml:space="preserve"> </w:t>
      </w:r>
      <w:r w:rsidR="003072F4" w:rsidRPr="33638D92">
        <w:rPr>
          <w:b/>
          <w:bCs/>
        </w:rPr>
        <w:t xml:space="preserve"> </w:t>
      </w:r>
    </w:p>
    <w:p w14:paraId="3049912B" w14:textId="44BB1DB3" w:rsidR="000E1289" w:rsidRDefault="006E798D" w:rsidP="00F40A6D">
      <w:r>
        <w:t xml:space="preserve">As argued above, the notion of radio measurements needs to be employed in the decision to trigger CHO/measurement report, either directly (in the form of separate event, such as Ax) or by scaling appropriately the offsets used in the inequalities </w:t>
      </w:r>
      <w:r w:rsidR="00B6611C">
        <w:t xml:space="preserve">applied </w:t>
      </w:r>
      <w:r>
        <w:t xml:space="preserve">when evaluating entry criteria. </w:t>
      </w:r>
    </w:p>
    <w:p w14:paraId="6B7C6187" w14:textId="584B951B" w:rsidR="003860EF" w:rsidRDefault="005E1909" w:rsidP="00F40A6D">
      <w:r>
        <w:t>The use of the distance between the UE and the cell center (</w:t>
      </w:r>
      <w:r w:rsidR="00A3679C">
        <w:t xml:space="preserve">serving or </w:t>
      </w:r>
      <w:r>
        <w:t>target</w:t>
      </w:r>
      <w:r w:rsidR="00A3679C">
        <w:t xml:space="preserve">) </w:t>
      </w:r>
      <w:r w:rsidR="004043E2">
        <w:t xml:space="preserve">is not optimal on its own, because it would not take into account potential </w:t>
      </w:r>
      <w:r w:rsidR="00FD50BE">
        <w:t xml:space="preserve">blockage (i.e. non-line of sight conditions) </w:t>
      </w:r>
      <w:r w:rsidR="00DF2C5D">
        <w:t xml:space="preserve">and also not </w:t>
      </w:r>
      <w:r w:rsidR="00D21890">
        <w:t xml:space="preserve">satellite movement. </w:t>
      </w:r>
      <w:r w:rsidR="002962D7">
        <w:t xml:space="preserve">For example, this is an issue when the UE has more than one </w:t>
      </w:r>
      <w:r w:rsidR="00904D57">
        <w:t xml:space="preserve">candidate </w:t>
      </w:r>
      <w:r w:rsidR="00531C4C">
        <w:t>target cell</w:t>
      </w:r>
      <w:r w:rsidR="00904D57">
        <w:t xml:space="preserve"> configured</w:t>
      </w:r>
      <w:r w:rsidR="00700EB8">
        <w:t xml:space="preserve">. </w:t>
      </w:r>
      <w:r w:rsidR="00700EB8">
        <w:fldChar w:fldCharType="begin"/>
      </w:r>
      <w:r w:rsidR="00700EB8">
        <w:instrText xml:space="preserve"> REF _Ref67473871 \h </w:instrText>
      </w:r>
      <w:r w:rsidR="00700EB8">
        <w:fldChar w:fldCharType="separate"/>
      </w:r>
      <w:r w:rsidR="00700EB8">
        <w:t xml:space="preserve">Figure </w:t>
      </w:r>
      <w:r w:rsidR="00700EB8">
        <w:rPr>
          <w:noProof/>
        </w:rPr>
        <w:t>1</w:t>
      </w:r>
      <w:r w:rsidR="00700EB8">
        <w:fldChar w:fldCharType="end"/>
      </w:r>
      <w:r w:rsidR="00700EB8">
        <w:t xml:space="preserve"> provides an illustration of a scenario, where the UE at time t1</w:t>
      </w:r>
      <w:r w:rsidR="00CB5C9D">
        <w:t xml:space="preserve"> may determine that neighbour cell 2 is </w:t>
      </w:r>
      <w:r w:rsidR="00973626">
        <w:t xml:space="preserve">closer </w:t>
      </w:r>
      <w:r w:rsidR="00161C7F">
        <w:t>than neighbour cell 1</w:t>
      </w:r>
      <w:r w:rsidR="00BE2BF3">
        <w:t xml:space="preserve">, while at time t2 </w:t>
      </w:r>
      <w:r w:rsidR="00DA3CC3">
        <w:t>neighbour cell 1 is closer than neighbour cell 2 due to the satellite movement</w:t>
      </w:r>
      <w:r w:rsidR="00161C7F">
        <w:t>.</w:t>
      </w:r>
      <w:r w:rsidR="00DA3CC3">
        <w:t xml:space="preserve"> </w:t>
      </w:r>
    </w:p>
    <w:p w14:paraId="59854F90" w14:textId="77777777" w:rsidR="00C855FF" w:rsidRDefault="00C855FF" w:rsidP="00C855FF">
      <w:pPr>
        <w:keepNext/>
        <w:jc w:val="center"/>
      </w:pPr>
      <w:r>
        <w:rPr>
          <w:noProof/>
        </w:rPr>
        <w:lastRenderedPageBreak/>
        <w:drawing>
          <wp:inline distT="0" distB="0" distL="0" distR="0" wp14:anchorId="655B6008" wp14:editId="19710C41">
            <wp:extent cx="3187254" cy="1749703"/>
            <wp:effectExtent l="0" t="0" r="0" b="317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187254" cy="1749703"/>
                    </a:xfrm>
                    <a:prstGeom prst="rect">
                      <a:avLst/>
                    </a:prstGeom>
                  </pic:spPr>
                </pic:pic>
              </a:graphicData>
            </a:graphic>
          </wp:inline>
        </w:drawing>
      </w:r>
    </w:p>
    <w:p w14:paraId="74504020" w14:textId="40EE6CF6" w:rsidR="00C855FF" w:rsidRDefault="00C855FF" w:rsidP="00C855FF">
      <w:pPr>
        <w:pStyle w:val="Caption"/>
        <w:jc w:val="center"/>
      </w:pPr>
      <w:bookmarkStart w:id="0" w:name="_Ref67473871"/>
      <w:r>
        <w:t xml:space="preserve">Figure </w:t>
      </w:r>
      <w:fldSimple w:instr=" SEQ Figure \* ARABIC ">
        <w:r>
          <w:rPr>
            <w:noProof/>
          </w:rPr>
          <w:t>1</w:t>
        </w:r>
      </w:fldSimple>
      <w:bookmarkEnd w:id="0"/>
      <w:r>
        <w:t xml:space="preserve"> Example of earth-moving cells moving from north to south. The UE (red triangle) is aware of cell center locations for the serving cell and the two neighbo</w:t>
      </w:r>
      <w:r w:rsidR="00351312">
        <w:t>u</w:t>
      </w:r>
      <w:r>
        <w:t>r cells.</w:t>
      </w:r>
    </w:p>
    <w:p w14:paraId="385912F6" w14:textId="2731A5CF" w:rsidR="00184196" w:rsidRDefault="00184196" w:rsidP="00184196">
      <w:r>
        <w:t>If the UE does not take the impact of earth-moving cells into account it may first send a measurement report (or trigger a handover) about neighbour cell 2 and shortly thereafter trigger a new measurement report (or trigger a handover) about</w:t>
      </w:r>
      <w:r w:rsidR="00B6611C">
        <w:t>/to</w:t>
      </w:r>
      <w:r>
        <w:t xml:space="preserve"> neighbour cell 1. In the case of regular handover, where measurement reports are used, the network could simply decide not to ask the UE to handover to neighbour cell 2, knowing that neighbour cell 1 will soon be the better option, but there would still be a cost in terms of UE signalling and energy consumption. If conditional handover is used, the UE may perform two handovers</w:t>
      </w:r>
      <w:r w:rsidR="00B6611C">
        <w:t>:</w:t>
      </w:r>
      <w:r>
        <w:t xml:space="preserve"> from serving cell to neighbour cell 2 and then to neighbour cell 1 in a very short period of time, also leading to increased signalling and energy consumption.</w:t>
      </w:r>
      <w:r w:rsidR="00813D14">
        <w:t xml:space="preserve"> </w:t>
      </w:r>
      <w:r w:rsidR="00487321">
        <w:t>It may also happen that the UE after handing over to neighbour cell 2 experiences an RLF, before it is able to handover to neighbour cell 1</w:t>
      </w:r>
    </w:p>
    <w:p w14:paraId="248D6444" w14:textId="596F30EB" w:rsidR="00DA17A4" w:rsidRPr="00DA17A4" w:rsidRDefault="00DA17A4" w:rsidP="00184196">
      <w:pPr>
        <w:rPr>
          <w:b/>
          <w:bCs/>
        </w:rPr>
      </w:pPr>
      <w:r>
        <w:rPr>
          <w:b/>
          <w:bCs/>
        </w:rPr>
        <w:t>Observation</w:t>
      </w:r>
      <w:r w:rsidR="000136AD">
        <w:rPr>
          <w:b/>
          <w:bCs/>
        </w:rPr>
        <w:t xml:space="preserve"> </w:t>
      </w:r>
      <w:r w:rsidR="00904D57">
        <w:rPr>
          <w:b/>
          <w:bCs/>
        </w:rPr>
        <w:t>3</w:t>
      </w:r>
      <w:r>
        <w:rPr>
          <w:b/>
          <w:bCs/>
        </w:rPr>
        <w:t xml:space="preserve">: </w:t>
      </w:r>
      <w:r w:rsidR="007C337E">
        <w:rPr>
          <w:b/>
          <w:bCs/>
        </w:rPr>
        <w:t xml:space="preserve">using instantaneous </w:t>
      </w:r>
      <w:r w:rsidR="0008194D">
        <w:rPr>
          <w:b/>
          <w:bCs/>
        </w:rPr>
        <w:t xml:space="preserve">distance metric </w:t>
      </w:r>
      <w:r w:rsidR="002E315D">
        <w:rPr>
          <w:b/>
          <w:bCs/>
        </w:rPr>
        <w:t xml:space="preserve">between UE and cell center may lead to </w:t>
      </w:r>
      <w:r w:rsidR="000136AD">
        <w:rPr>
          <w:b/>
          <w:bCs/>
        </w:rPr>
        <w:t>unnecessary handovers</w:t>
      </w:r>
      <w:r w:rsidR="00160D68">
        <w:rPr>
          <w:b/>
          <w:bCs/>
        </w:rPr>
        <w:t xml:space="preserve"> and even RLF</w:t>
      </w:r>
      <w:r w:rsidR="00B6611C">
        <w:rPr>
          <w:b/>
          <w:bCs/>
        </w:rPr>
        <w:t>s</w:t>
      </w:r>
      <w:r w:rsidR="000136AD">
        <w:rPr>
          <w:b/>
          <w:bCs/>
        </w:rPr>
        <w:t>.</w:t>
      </w:r>
    </w:p>
    <w:p w14:paraId="4968185E" w14:textId="6BBC0B8D" w:rsidR="00184196" w:rsidRDefault="00904D57" w:rsidP="00184196">
      <w:r>
        <w:t xml:space="preserve">However, the </w:t>
      </w:r>
      <w:r w:rsidR="006654D2">
        <w:t xml:space="preserve">UE </w:t>
      </w:r>
      <w:r>
        <w:t>may</w:t>
      </w:r>
      <w:r w:rsidR="006654D2">
        <w:t xml:space="preserve"> </w:t>
      </w:r>
      <w:r w:rsidR="003A1629">
        <w:t xml:space="preserve">not determine the instantaneous distance to the cell centers of the two target cells, but how the </w:t>
      </w:r>
      <w:r w:rsidR="00A54827">
        <w:t>distance is changing</w:t>
      </w:r>
      <w:r w:rsidR="00503D84">
        <w:t xml:space="preserve"> (i.e. the delta be</w:t>
      </w:r>
      <w:r w:rsidR="00343CCC">
        <w:t xml:space="preserve">tween the </w:t>
      </w:r>
      <w:r w:rsidR="002477E8">
        <w:t xml:space="preserve">distance </w:t>
      </w:r>
      <w:r w:rsidR="00BC0D1C">
        <w:t xml:space="preserve">between UE and a cell at time t1 and t2 in </w:t>
      </w:r>
      <w:r w:rsidR="00BC0D1C">
        <w:fldChar w:fldCharType="begin"/>
      </w:r>
      <w:r w:rsidR="00BC0D1C">
        <w:instrText xml:space="preserve"> REF _Ref67473871 \h </w:instrText>
      </w:r>
      <w:r w:rsidR="00BC0D1C">
        <w:fldChar w:fldCharType="separate"/>
      </w:r>
      <w:r w:rsidR="00BC0D1C">
        <w:t xml:space="preserve">Figure </w:t>
      </w:r>
      <w:r w:rsidR="00BC0D1C">
        <w:rPr>
          <w:noProof/>
        </w:rPr>
        <w:t>1</w:t>
      </w:r>
      <w:r w:rsidR="00BC0D1C">
        <w:fldChar w:fldCharType="end"/>
      </w:r>
      <w:r w:rsidR="00BC0D1C">
        <w:t>)</w:t>
      </w:r>
      <w:r w:rsidR="00A54827">
        <w:t xml:space="preserve">. By doing so, the UE could observe that the neighbour cell 2 is actually moving away from the UE, while neighbour cell 1 is approaching. </w:t>
      </w:r>
    </w:p>
    <w:p w14:paraId="7586AA23" w14:textId="28141497" w:rsidR="000136AD" w:rsidRPr="000136AD" w:rsidRDefault="000136AD" w:rsidP="00184196">
      <w:pPr>
        <w:rPr>
          <w:b/>
          <w:bCs/>
        </w:rPr>
      </w:pPr>
      <w:r>
        <w:rPr>
          <w:b/>
          <w:bCs/>
        </w:rPr>
        <w:t xml:space="preserve">Observation </w:t>
      </w:r>
      <w:r w:rsidR="00904D57">
        <w:rPr>
          <w:b/>
          <w:bCs/>
        </w:rPr>
        <w:t>4</w:t>
      </w:r>
      <w:r>
        <w:rPr>
          <w:b/>
          <w:bCs/>
        </w:rPr>
        <w:t xml:space="preserve">: </w:t>
      </w:r>
      <w:r w:rsidR="0087760D">
        <w:rPr>
          <w:b/>
          <w:bCs/>
        </w:rPr>
        <w:t xml:space="preserve">using </w:t>
      </w:r>
      <w:r w:rsidR="00CF48BF">
        <w:rPr>
          <w:b/>
          <w:bCs/>
        </w:rPr>
        <w:t xml:space="preserve">a distance change metric enables the UE to determine </w:t>
      </w:r>
      <w:r w:rsidR="00A76CE6">
        <w:rPr>
          <w:b/>
          <w:bCs/>
        </w:rPr>
        <w:t xml:space="preserve">whether target cells </w:t>
      </w:r>
      <w:r w:rsidR="00044E65">
        <w:rPr>
          <w:b/>
          <w:bCs/>
        </w:rPr>
        <w:t>are mo</w:t>
      </w:r>
      <w:r w:rsidR="00EB78E2">
        <w:rPr>
          <w:b/>
          <w:bCs/>
        </w:rPr>
        <w:t xml:space="preserve">ving towards/away from the UE. </w:t>
      </w:r>
    </w:p>
    <w:p w14:paraId="596CBD5E" w14:textId="6C730099" w:rsidR="000B5526" w:rsidRDefault="000B5526" w:rsidP="00184196">
      <w:r>
        <w:t xml:space="preserve">As previously noted, it is paramount to not consider </w:t>
      </w:r>
      <w:r w:rsidR="000C6B64">
        <w:t xml:space="preserve">distance metrics as standalone, but in combination with radio measurements. Therefore, </w:t>
      </w:r>
      <w:r w:rsidR="002302A8">
        <w:t xml:space="preserve">the </w:t>
      </w:r>
      <w:r w:rsidR="00316E97">
        <w:t xml:space="preserve">distance change </w:t>
      </w:r>
      <w:r w:rsidR="00904D57">
        <w:t xml:space="preserve">can be converted </w:t>
      </w:r>
      <w:r w:rsidR="00316E97">
        <w:t xml:space="preserve">to an offset parameter, which can be applied in the relevant measurement event, e.g. A3. </w:t>
      </w:r>
      <w:r w:rsidR="009474E1">
        <w:t xml:space="preserve">Such an offset may also </w:t>
      </w:r>
      <w:r w:rsidR="00260052">
        <w:t xml:space="preserve">depend on whether the target cell is on the same satellite as the serving cell or not, since handover to a </w:t>
      </w:r>
      <w:r w:rsidR="003F430B">
        <w:t xml:space="preserve">different satellite </w:t>
      </w:r>
      <w:r w:rsidR="00921415">
        <w:t xml:space="preserve">will be more complex. </w:t>
      </w:r>
    </w:p>
    <w:p w14:paraId="56F33EDC" w14:textId="12EAEF96" w:rsidR="001B2E90" w:rsidRPr="001B2E90" w:rsidRDefault="001B2E90" w:rsidP="00184196">
      <w:pPr>
        <w:rPr>
          <w:b/>
          <w:bCs/>
        </w:rPr>
      </w:pPr>
      <w:r>
        <w:rPr>
          <w:b/>
          <w:bCs/>
        </w:rPr>
        <w:t xml:space="preserve">Observation </w:t>
      </w:r>
      <w:r w:rsidR="00904D57">
        <w:rPr>
          <w:b/>
          <w:bCs/>
        </w:rPr>
        <w:t>5</w:t>
      </w:r>
      <w:r>
        <w:rPr>
          <w:b/>
          <w:bCs/>
        </w:rPr>
        <w:t xml:space="preserve">: </w:t>
      </w:r>
      <w:r w:rsidR="00A77903">
        <w:rPr>
          <w:b/>
          <w:bCs/>
        </w:rPr>
        <w:t>A distance change metric</w:t>
      </w:r>
      <w:r w:rsidR="001B0C4A">
        <w:rPr>
          <w:b/>
          <w:bCs/>
        </w:rPr>
        <w:t xml:space="preserve"> </w:t>
      </w:r>
      <w:r w:rsidR="004B4986">
        <w:rPr>
          <w:b/>
          <w:bCs/>
        </w:rPr>
        <w:t>can be used as an offset parameter in radio measurement events (Ax)</w:t>
      </w:r>
      <w:r w:rsidR="006B117C">
        <w:rPr>
          <w:b/>
          <w:bCs/>
        </w:rPr>
        <w:t>.</w:t>
      </w:r>
    </w:p>
    <w:p w14:paraId="0EE36CF5" w14:textId="46DDEAF1" w:rsidR="007806CA" w:rsidRDefault="007806CA">
      <w:pPr>
        <w:pStyle w:val="Heading2"/>
      </w:pPr>
      <w:r>
        <w:t>2.3 Combination of events</w:t>
      </w:r>
    </w:p>
    <w:p w14:paraId="2AA7AB58" w14:textId="59F606A9" w:rsidR="00BA3590" w:rsidRDefault="00E46503" w:rsidP="007806CA">
      <w:r>
        <w:t>It is widely discussed (e.g. in [1] and [2]) whether the events can be combined or used in standalone manner. We have briefly shared our opinion already in the preceding subparagraphs</w:t>
      </w:r>
      <w:r w:rsidR="00B6611C">
        <w:t xml:space="preserve"> and at previous RAN2 meeting</w:t>
      </w:r>
      <w:r>
        <w:t>, but</w:t>
      </w:r>
      <w:r w:rsidR="00833782">
        <w:t xml:space="preserve"> here we would like to reiterate some key aspects. First of all, we </w:t>
      </w:r>
      <w:r w:rsidR="00E6160F">
        <w:t>would like to emphasize the CHO/measurement report triggering in NTN shall not be done without considering radio measurements (e.g. based on UE’s location or the timing alone). It is highly expected the UE will conduct radio measurements, especially when in RRC_C</w:t>
      </w:r>
      <w:r w:rsidR="00BA3590">
        <w:t>ONNECTED, so we are not aware whether there is</w:t>
      </w:r>
      <w:r w:rsidR="00B6611C">
        <w:t xml:space="preserve"> indeed</w:t>
      </w:r>
      <w:r w:rsidR="00BA3590">
        <w:t xml:space="preserve"> a big burden to expect the UE evaluates also appropriate Ax events</w:t>
      </w:r>
      <w:r w:rsidR="00E6160F">
        <w:t>.</w:t>
      </w:r>
      <w:r w:rsidR="0000346C">
        <w:t xml:space="preserve"> Please also note that radio conditions will vary a lot (e.g. due to LOS/NLOS factors and fading) for each UE, so a HO based on the distance/timing alone may be susceptible to failure.</w:t>
      </w:r>
    </w:p>
    <w:p w14:paraId="45D65716" w14:textId="54652E36" w:rsidR="00BA3590" w:rsidRPr="00BA3590" w:rsidRDefault="00BA3590" w:rsidP="007806CA">
      <w:pPr>
        <w:rPr>
          <w:b/>
          <w:bCs/>
        </w:rPr>
      </w:pPr>
      <w:r w:rsidRPr="00BA3590">
        <w:rPr>
          <w:b/>
          <w:bCs/>
        </w:rPr>
        <w:t>Proposal 4: Timer- or location-based events</w:t>
      </w:r>
      <w:r>
        <w:rPr>
          <w:b/>
          <w:bCs/>
        </w:rPr>
        <w:t xml:space="preserve"> for NTN</w:t>
      </w:r>
      <w:r w:rsidRPr="00BA3590">
        <w:rPr>
          <w:b/>
          <w:bCs/>
        </w:rPr>
        <w:t xml:space="preserve"> are</w:t>
      </w:r>
      <w:r w:rsidR="00B6611C">
        <w:rPr>
          <w:b/>
          <w:bCs/>
        </w:rPr>
        <w:t xml:space="preserve"> either linked in the specification with </w:t>
      </w:r>
      <w:r w:rsidR="00B6611C" w:rsidRPr="00BA3590">
        <w:rPr>
          <w:b/>
          <w:bCs/>
        </w:rPr>
        <w:t>radio measurements based events (e.g. Ax)</w:t>
      </w:r>
      <w:r w:rsidR="00B6611C">
        <w:rPr>
          <w:b/>
          <w:bCs/>
        </w:rPr>
        <w:t xml:space="preserve"> or</w:t>
      </w:r>
      <w:r w:rsidRPr="00BA3590">
        <w:rPr>
          <w:b/>
          <w:bCs/>
        </w:rPr>
        <w:t xml:space="preserve"> always configured jointly with radio measurements based events (e.g. Ax).</w:t>
      </w:r>
    </w:p>
    <w:p w14:paraId="0CABC7C2" w14:textId="4E6A71F0" w:rsidR="009B5E29" w:rsidRDefault="00C958C5" w:rsidP="007806CA">
      <w:r>
        <w:t xml:space="preserve">Another aspect related to the combination, discussed in [1], was whether time-based event can be used jointly with the location-based event. In our view the use case for such particular combination remains vague. Even though using location and timing to assess if the CHO/measurement event shall be triggered, brings extra reliability compared to using each of them alone, this setting is still deprived of what is the most important in the wireless networks – radio measurements. In our understanding, the </w:t>
      </w:r>
      <w:r w:rsidR="009B5E29">
        <w:t>location or time can be used as an extension of the existing events</w:t>
      </w:r>
      <w:r w:rsidR="00631939">
        <w:t xml:space="preserve"> – a sort of </w:t>
      </w:r>
      <w:r w:rsidR="009B5E29">
        <w:lastRenderedPageBreak/>
        <w:t>additional verification, but never instead, as what primarily matters if whether the radio conditions for the target cell are good enough. Thus, we propose the following:</w:t>
      </w:r>
    </w:p>
    <w:p w14:paraId="4C47BC7B" w14:textId="64A1D748" w:rsidR="007806CA" w:rsidRPr="009B5E29" w:rsidRDefault="009B5E29" w:rsidP="007806CA">
      <w:pPr>
        <w:rPr>
          <w:b/>
          <w:bCs/>
          <w:lang w:val="pl-PL"/>
        </w:rPr>
      </w:pPr>
      <w:r w:rsidRPr="009B5E29">
        <w:rPr>
          <w:b/>
          <w:bCs/>
        </w:rPr>
        <w:t>Proposal 5: Timer-based event cannot be combined with location-based event for</w:t>
      </w:r>
      <w:r w:rsidR="00E16F8B">
        <w:rPr>
          <w:b/>
          <w:bCs/>
        </w:rPr>
        <w:t xml:space="preserve"> the same CHO candidate cell evaluation criteria. Any of these </w:t>
      </w:r>
      <w:r w:rsidR="00AE544D">
        <w:rPr>
          <w:b/>
          <w:bCs/>
        </w:rPr>
        <w:t>shall</w:t>
      </w:r>
      <w:r w:rsidR="00E16F8B">
        <w:rPr>
          <w:b/>
          <w:bCs/>
        </w:rPr>
        <w:t xml:space="preserve"> be always linked with the radio measurement based events.</w:t>
      </w:r>
      <w:r w:rsidR="00C958C5" w:rsidRPr="009B5E29">
        <w:rPr>
          <w:b/>
          <w:bCs/>
        </w:rPr>
        <w:t xml:space="preserve"> </w:t>
      </w:r>
      <w:r w:rsidR="00E6160F" w:rsidRPr="009B5E29">
        <w:rPr>
          <w:b/>
          <w:bCs/>
        </w:rPr>
        <w:t xml:space="preserve">  </w:t>
      </w:r>
    </w:p>
    <w:p w14:paraId="24C4984D" w14:textId="0FE92AF2" w:rsidR="007806CA" w:rsidRDefault="007806CA">
      <w:pPr>
        <w:pStyle w:val="Heading2"/>
      </w:pPr>
      <w:r>
        <w:t xml:space="preserve">2.4 Chain </w:t>
      </w:r>
      <w:r w:rsidR="00FA0EAE">
        <w:t>of Conditional Handovers</w:t>
      </w:r>
    </w:p>
    <w:p w14:paraId="4EA2B91D" w14:textId="5F4ED135" w:rsidR="007806CA" w:rsidRDefault="00E16F8B" w:rsidP="007806CA">
      <w:r>
        <w:t>One of the issues also briefly considered in [1] was whether the CHO commands shall be discarded after HO execution. The question was not precisely asked</w:t>
      </w:r>
      <w:r w:rsidR="00AE544D">
        <w:t xml:space="preserve"> in [1]</w:t>
      </w:r>
      <w:r>
        <w:t xml:space="preserve">, as the </w:t>
      </w:r>
      <w:r w:rsidR="007F52AA">
        <w:t>authors of [3], which was used as the main reference for that topic, clearly stated this is about the CHO commands for the future cells, not other candidates, to be considered in this CHO evaluation</w:t>
      </w:r>
      <w:r w:rsidR="00AE544D">
        <w:t xml:space="preserve"> step</w:t>
      </w:r>
      <w:r w:rsidR="007F52AA">
        <w:t xml:space="preserve">. As in NTN scenario the sequence of next serving cells can be predicted with high probability (assuming the UE does not move significantly, compared to the satellite coverage), </w:t>
      </w:r>
      <w:r w:rsidR="004959BA">
        <w:t xml:space="preserve">we see some value in preparing the UE for multiple hops in advance. </w:t>
      </w:r>
      <w:r w:rsidR="00AE544D">
        <w:t>T</w:t>
      </w:r>
      <w:r w:rsidR="004959BA">
        <w:t>he details of such procedure can be discussed later, when RAN2 progresses with more basic aspects of CHO for NTN</w:t>
      </w:r>
      <w:r w:rsidR="00AE544D">
        <w:t>, but it shall not be excluded at this stage of the work</w:t>
      </w:r>
    </w:p>
    <w:p w14:paraId="3035349C" w14:textId="4F060B78" w:rsidR="004959BA" w:rsidRPr="00264557" w:rsidRDefault="004959BA" w:rsidP="007806CA">
      <w:pPr>
        <w:rPr>
          <w:b/>
          <w:bCs/>
        </w:rPr>
      </w:pPr>
      <w:r w:rsidRPr="00264557">
        <w:rPr>
          <w:b/>
          <w:bCs/>
        </w:rPr>
        <w:t xml:space="preserve">Proposal 6: </w:t>
      </w:r>
      <w:r w:rsidR="00264557">
        <w:rPr>
          <w:b/>
          <w:bCs/>
        </w:rPr>
        <w:t xml:space="preserve">RAN2 is asked to support the mechanism, where the UE can be provided with CHO configurations for cells beyond the next cell change (future candidate cells). Details of the procedure can be left FFS. </w:t>
      </w:r>
    </w:p>
    <w:p w14:paraId="5FF2457F" w14:textId="6D703788" w:rsidR="00A209D6" w:rsidRPr="006E13D1" w:rsidRDefault="00C219A0" w:rsidP="00A209D6">
      <w:pPr>
        <w:pStyle w:val="Heading1"/>
      </w:pPr>
      <w:r>
        <w:t>3</w:t>
      </w:r>
      <w:r w:rsidR="00A209D6" w:rsidRPr="006E13D1">
        <w:tab/>
      </w:r>
      <w:r w:rsidR="008C3057">
        <w:t>Conclusion</w:t>
      </w:r>
    </w:p>
    <w:p w14:paraId="7B7240A4" w14:textId="0A8720DA" w:rsidR="004F73A7" w:rsidRPr="006E13D1" w:rsidRDefault="00C219A0" w:rsidP="00A209D6">
      <w:r>
        <w:t>This paper considered connected mode mobility for NTN Rel-17. The following observations and proposals have been</w:t>
      </w:r>
      <w:r w:rsidR="004F73A7">
        <w:t xml:space="preserve"> made</w:t>
      </w:r>
      <w:r w:rsidR="004F4540">
        <w:t>:</w:t>
      </w:r>
    </w:p>
    <w:p w14:paraId="4E38F711" w14:textId="3ABDB2B6" w:rsidR="006B117C" w:rsidRPr="006B6DAA" w:rsidRDefault="006B117C" w:rsidP="006B117C">
      <w:pPr>
        <w:rPr>
          <w:b/>
          <w:bCs/>
        </w:rPr>
      </w:pPr>
      <w:r w:rsidRPr="006B6DAA">
        <w:rPr>
          <w:b/>
          <w:bCs/>
        </w:rPr>
        <w:t>Proposal 1: The design of time based event for NTN considers at least the following aspects: NTN scenario, time definition and whether it is related to source or target cell.</w:t>
      </w:r>
    </w:p>
    <w:p w14:paraId="7AC48949" w14:textId="77777777" w:rsidR="006B117C" w:rsidRPr="009941B2" w:rsidRDefault="006B117C" w:rsidP="006B117C">
      <w:pPr>
        <w:rPr>
          <w:b/>
          <w:bCs/>
        </w:rPr>
      </w:pPr>
      <w:r w:rsidRPr="009941B2">
        <w:rPr>
          <w:b/>
          <w:bCs/>
        </w:rPr>
        <w:t>Observation 1: The need to obtain the information on the UE location is not an issue for quasi-Earth-fixed cells scenario.</w:t>
      </w:r>
    </w:p>
    <w:p w14:paraId="34B00ECD" w14:textId="77777777" w:rsidR="006B117C" w:rsidRPr="007806CA" w:rsidRDefault="006B117C" w:rsidP="006B117C">
      <w:pPr>
        <w:rPr>
          <w:b/>
          <w:bCs/>
        </w:rPr>
      </w:pPr>
      <w:r w:rsidRPr="007806CA">
        <w:rPr>
          <w:b/>
          <w:bCs/>
        </w:rPr>
        <w:t xml:space="preserve">Proposal 2: </w:t>
      </w:r>
      <w:r>
        <w:rPr>
          <w:b/>
          <w:bCs/>
        </w:rPr>
        <w:t xml:space="preserve">Introduce the timer-based event, which should indicate since when </w:t>
      </w:r>
      <w:r w:rsidRPr="00AB1C1D">
        <w:rPr>
          <w:b/>
          <w:bCs/>
        </w:rPr>
        <w:t>the target cell can be accessed</w:t>
      </w:r>
      <w:r>
        <w:rPr>
          <w:b/>
          <w:bCs/>
        </w:rPr>
        <w:t xml:space="preserve">. Timer-based event triggers the CHO only if </w:t>
      </w:r>
      <w:r w:rsidRPr="00AB1C1D">
        <w:rPr>
          <w:b/>
          <w:bCs/>
        </w:rPr>
        <w:t>related radio-based measurement (i.e. Ax) is fulfilled simultaneously</w:t>
      </w:r>
      <w:r>
        <w:rPr>
          <w:b/>
          <w:bCs/>
        </w:rPr>
        <w:t>.</w:t>
      </w:r>
    </w:p>
    <w:p w14:paraId="397AD5A5" w14:textId="77777777" w:rsidR="006B117C" w:rsidRPr="00CA406C" w:rsidRDefault="006B117C" w:rsidP="006B117C">
      <w:pPr>
        <w:rPr>
          <w:b/>
          <w:bCs/>
        </w:rPr>
      </w:pPr>
      <w:r w:rsidRPr="00CA406C">
        <w:rPr>
          <w:b/>
          <w:bCs/>
        </w:rPr>
        <w:t xml:space="preserve">Proposal 3: Timer- and radio-based execution conditions for NTN CHO can be combined </w:t>
      </w:r>
      <w:r>
        <w:rPr>
          <w:b/>
          <w:bCs/>
        </w:rPr>
        <w:t>in a similar way as defined for CHO Rel-16. To be decided when Stage-3 is pursued.</w:t>
      </w:r>
    </w:p>
    <w:p w14:paraId="1F1AD610" w14:textId="77777777" w:rsidR="006B117C" w:rsidRPr="000E1289" w:rsidRDefault="006B117C" w:rsidP="006B117C">
      <w:pPr>
        <w:rPr>
          <w:b/>
          <w:bCs/>
        </w:rPr>
      </w:pPr>
      <w:r w:rsidRPr="33638D92">
        <w:rPr>
          <w:b/>
          <w:bCs/>
        </w:rPr>
        <w:t xml:space="preserve">Observation 2: Location-based event requires complex calculations of UE’s position versus satellite/cell center (both the satellite </w:t>
      </w:r>
      <w:r>
        <w:rPr>
          <w:b/>
          <w:bCs/>
        </w:rPr>
        <w:t>(</w:t>
      </w:r>
      <w:r w:rsidRPr="33638D92">
        <w:rPr>
          <w:b/>
          <w:bCs/>
        </w:rPr>
        <w:t>and cell center location</w:t>
      </w:r>
      <w:r>
        <w:rPr>
          <w:b/>
          <w:bCs/>
        </w:rPr>
        <w:t xml:space="preserve"> in EMC)</w:t>
      </w:r>
      <w:r w:rsidRPr="33638D92">
        <w:rPr>
          <w:b/>
          <w:bCs/>
        </w:rPr>
        <w:t xml:space="preserve"> move very fast) while not being sufficient to trigger alone the mobility event.  </w:t>
      </w:r>
    </w:p>
    <w:p w14:paraId="69659A2B" w14:textId="011B2CE4" w:rsidR="006B117C" w:rsidRPr="00DA17A4" w:rsidRDefault="006B117C" w:rsidP="006B117C">
      <w:pPr>
        <w:rPr>
          <w:b/>
          <w:bCs/>
        </w:rPr>
      </w:pPr>
      <w:r>
        <w:rPr>
          <w:b/>
          <w:bCs/>
        </w:rPr>
        <w:t>Observation 3: using instantaneous distance metric between UE and cell center may lead to unnecessary handovers and even RLF</w:t>
      </w:r>
      <w:r w:rsidR="00B6611C">
        <w:rPr>
          <w:b/>
          <w:bCs/>
        </w:rPr>
        <w:t>s</w:t>
      </w:r>
      <w:r>
        <w:rPr>
          <w:b/>
          <w:bCs/>
        </w:rPr>
        <w:t>.</w:t>
      </w:r>
    </w:p>
    <w:p w14:paraId="351634A0" w14:textId="77777777" w:rsidR="006B117C" w:rsidRPr="000136AD" w:rsidRDefault="006B117C" w:rsidP="006B117C">
      <w:pPr>
        <w:rPr>
          <w:b/>
          <w:bCs/>
        </w:rPr>
      </w:pPr>
      <w:r>
        <w:rPr>
          <w:b/>
          <w:bCs/>
        </w:rPr>
        <w:t xml:space="preserve">Observation 4: using a distance change metric enables the UE to determine whether target cells are moving towards/away from the UE. </w:t>
      </w:r>
    </w:p>
    <w:p w14:paraId="3E3BD515" w14:textId="77777777" w:rsidR="006B117C" w:rsidRPr="001B2E90" w:rsidRDefault="006B117C" w:rsidP="006B117C">
      <w:pPr>
        <w:rPr>
          <w:b/>
          <w:bCs/>
        </w:rPr>
      </w:pPr>
      <w:r>
        <w:rPr>
          <w:b/>
          <w:bCs/>
        </w:rPr>
        <w:t>Observation 5: A distance change metric can be used as an offset parameter in radio measurement events (Ax).</w:t>
      </w:r>
    </w:p>
    <w:p w14:paraId="2489DB7E" w14:textId="77777777" w:rsidR="00631939" w:rsidRPr="00BA3590" w:rsidRDefault="00631939" w:rsidP="00631939">
      <w:pPr>
        <w:rPr>
          <w:b/>
          <w:bCs/>
        </w:rPr>
      </w:pPr>
      <w:r w:rsidRPr="00BA3590">
        <w:rPr>
          <w:b/>
          <w:bCs/>
        </w:rPr>
        <w:t>Proposal 4: Timer- or location-based events</w:t>
      </w:r>
      <w:r>
        <w:rPr>
          <w:b/>
          <w:bCs/>
        </w:rPr>
        <w:t xml:space="preserve"> for NTN</w:t>
      </w:r>
      <w:r w:rsidRPr="00BA3590">
        <w:rPr>
          <w:b/>
          <w:bCs/>
        </w:rPr>
        <w:t xml:space="preserve"> are</w:t>
      </w:r>
      <w:r>
        <w:rPr>
          <w:b/>
          <w:bCs/>
        </w:rPr>
        <w:t xml:space="preserve"> either linked in the specification with </w:t>
      </w:r>
      <w:r w:rsidRPr="00BA3590">
        <w:rPr>
          <w:b/>
          <w:bCs/>
        </w:rPr>
        <w:t>radio measurements based events (e.g. Ax)</w:t>
      </w:r>
      <w:r>
        <w:rPr>
          <w:b/>
          <w:bCs/>
        </w:rPr>
        <w:t xml:space="preserve"> or</w:t>
      </w:r>
      <w:r w:rsidRPr="00BA3590">
        <w:rPr>
          <w:b/>
          <w:bCs/>
        </w:rPr>
        <w:t xml:space="preserve"> always configured jointly with radio measurements based events (e.g. Ax).</w:t>
      </w:r>
    </w:p>
    <w:p w14:paraId="1A4C7647" w14:textId="5F1D8374" w:rsidR="006B117C" w:rsidRPr="009B5E29" w:rsidRDefault="006B117C" w:rsidP="006B117C">
      <w:pPr>
        <w:rPr>
          <w:b/>
          <w:bCs/>
          <w:lang w:val="pl-PL"/>
        </w:rPr>
      </w:pPr>
      <w:r w:rsidRPr="009B5E29">
        <w:rPr>
          <w:b/>
          <w:bCs/>
        </w:rPr>
        <w:t>Proposal 5: Timer-based event cannot be combined with location-based event for</w:t>
      </w:r>
      <w:r>
        <w:rPr>
          <w:b/>
          <w:bCs/>
        </w:rPr>
        <w:t xml:space="preserve"> the same CHO candidate cell evaluation criteria. Any of these </w:t>
      </w:r>
      <w:r w:rsidR="00AE544D">
        <w:rPr>
          <w:b/>
          <w:bCs/>
        </w:rPr>
        <w:t xml:space="preserve">shall </w:t>
      </w:r>
      <w:r>
        <w:rPr>
          <w:b/>
          <w:bCs/>
        </w:rPr>
        <w:t>be always linked with the radio measurement based events.</w:t>
      </w:r>
      <w:r w:rsidRPr="009B5E29">
        <w:rPr>
          <w:b/>
          <w:bCs/>
        </w:rPr>
        <w:t xml:space="preserve">   </w:t>
      </w:r>
    </w:p>
    <w:p w14:paraId="48CF27DC" w14:textId="0B0CE002" w:rsidR="006B117C" w:rsidRPr="009176AC" w:rsidRDefault="006B117C" w:rsidP="00A209D6">
      <w:pPr>
        <w:rPr>
          <w:b/>
          <w:bCs/>
        </w:rPr>
      </w:pPr>
      <w:r w:rsidRPr="00264557">
        <w:rPr>
          <w:b/>
          <w:bCs/>
        </w:rPr>
        <w:t xml:space="preserve">Proposal 6: </w:t>
      </w:r>
      <w:r>
        <w:rPr>
          <w:b/>
          <w:bCs/>
        </w:rPr>
        <w:t xml:space="preserve">RAN2 is asked to support the mechanism, where the UE can be provided with CHO configurations for cells beyond the next cell change (future candidate cells). Details of the procedure can be left FFS. </w:t>
      </w:r>
    </w:p>
    <w:p w14:paraId="35F222F4" w14:textId="3CA2DB64" w:rsidR="00080512" w:rsidRPr="00A209D6" w:rsidRDefault="004F73A7" w:rsidP="00A209D6">
      <w:r>
        <w:t xml:space="preserve"> </w:t>
      </w:r>
    </w:p>
    <w:p w14:paraId="21C353FA" w14:textId="3FF695C8" w:rsidR="00923740" w:rsidRDefault="00923740">
      <w:pPr>
        <w:pStyle w:val="Heading1"/>
      </w:pPr>
      <w:r>
        <w:lastRenderedPageBreak/>
        <w:t>References</w:t>
      </w:r>
    </w:p>
    <w:p w14:paraId="71DCFD4F" w14:textId="5615297D" w:rsidR="00923740" w:rsidRDefault="00923740" w:rsidP="00923740">
      <w:r>
        <w:t xml:space="preserve">[1] R2-2102016 </w:t>
      </w:r>
      <w:r w:rsidRPr="00C91605">
        <w:rPr>
          <w:i/>
          <w:iCs/>
        </w:rPr>
        <w:t>Report of [AT113-e][106][NTN] CHO aspects (Ericsson)</w:t>
      </w:r>
      <w:r>
        <w:t xml:space="preserve"> 3GPP TSG-RAN WG2 Meeting #113 electronic, January 25th - February 5th, 2021</w:t>
      </w:r>
    </w:p>
    <w:p w14:paraId="04E57B27" w14:textId="3BC44D2E" w:rsidR="008557D7" w:rsidRDefault="008557D7" w:rsidP="00923740">
      <w:r>
        <w:t xml:space="preserve">[2] R2-2101952 </w:t>
      </w:r>
      <w:r w:rsidRPr="00C91605">
        <w:rPr>
          <w:i/>
          <w:iCs/>
        </w:rPr>
        <w:t>Report from Break-out session on R16 eMIMO, CLI, PRN, RACS and R17 NTN and REDCAP</w:t>
      </w:r>
      <w:r>
        <w:t xml:space="preserve"> 3GPP TSG-RAN WG2 Meeting #113 electronic, January 25th - February 5th, 2021</w:t>
      </w:r>
    </w:p>
    <w:p w14:paraId="74D1B334" w14:textId="063DF599" w:rsidR="00E16F8B" w:rsidRPr="00923740" w:rsidRDefault="00E16F8B" w:rsidP="00923740">
      <w:r>
        <w:rPr>
          <w:lang w:val="en-US"/>
        </w:rPr>
        <w:t xml:space="preserve">[3] </w:t>
      </w:r>
      <w:hyperlink r:id="rId14" w:tooltip="C:Data3GPPExtractsR2-2100744.doc" w:history="1">
        <w:r w:rsidRPr="0033702D">
          <w:rPr>
            <w:lang w:val="en-US"/>
          </w:rPr>
          <w:t>R2-2100744</w:t>
        </w:r>
      </w:hyperlink>
      <w:r w:rsidR="00873554">
        <w:rPr>
          <w:lang w:val="en-US"/>
        </w:rPr>
        <w:t xml:space="preserve"> </w:t>
      </w:r>
      <w:r w:rsidR="00873554" w:rsidRPr="00C91605">
        <w:rPr>
          <w:i/>
          <w:iCs/>
        </w:rPr>
        <w:t>Configuration and execution of CHO</w:t>
      </w:r>
      <w:r w:rsidR="00873554">
        <w:t xml:space="preserve"> 3GPP TSG-RAN WG2 Meeting #113 electronic, January 25th - February 5th, 2021</w:t>
      </w:r>
    </w:p>
    <w:sectPr w:rsidR="00E16F8B" w:rsidRPr="00923740">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221A74" w14:textId="77777777" w:rsidR="00547584" w:rsidRDefault="00547584">
      <w:r>
        <w:separator/>
      </w:r>
    </w:p>
  </w:endnote>
  <w:endnote w:type="continuationSeparator" w:id="0">
    <w:p w14:paraId="4B4FC333" w14:textId="77777777" w:rsidR="00547584" w:rsidRDefault="00547584">
      <w:r>
        <w:continuationSeparator/>
      </w:r>
    </w:p>
  </w:endnote>
  <w:endnote w:type="continuationNotice" w:id="1">
    <w:p w14:paraId="7E8A00CC" w14:textId="77777777" w:rsidR="00547584" w:rsidRDefault="005475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BB4EDB" w14:textId="77777777" w:rsidR="00547584" w:rsidRDefault="00547584">
      <w:r>
        <w:separator/>
      </w:r>
    </w:p>
  </w:footnote>
  <w:footnote w:type="continuationSeparator" w:id="0">
    <w:p w14:paraId="260EFF7D" w14:textId="77777777" w:rsidR="00547584" w:rsidRDefault="00547584">
      <w:r>
        <w:continuationSeparator/>
      </w:r>
    </w:p>
  </w:footnote>
  <w:footnote w:type="continuationNotice" w:id="1">
    <w:p w14:paraId="577AE62B" w14:textId="77777777" w:rsidR="00547584" w:rsidRDefault="0054758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6160700"/>
    <w:multiLevelType w:val="hybridMultilevel"/>
    <w:tmpl w:val="51A45BD2"/>
    <w:lvl w:ilvl="0" w:tplc="446C4F3A">
      <w:start w:val="1"/>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 w15:restartNumberingAfterBreak="0">
    <w:nsid w:val="5E187E62"/>
    <w:multiLevelType w:val="hybridMultilevel"/>
    <w:tmpl w:val="8982E0EE"/>
    <w:lvl w:ilvl="0" w:tplc="446C4F3A">
      <w:start w:val="1"/>
      <w:numFmt w:val="bullet"/>
      <w:lvlText w:val="-"/>
      <w:lvlJc w:val="left"/>
      <w:pPr>
        <w:ind w:left="774" w:hanging="360"/>
      </w:pPr>
      <w:rPr>
        <w:rFonts w:ascii="Arial" w:eastAsia="MS Mincho" w:hAnsi="Arial" w:cs="Arial" w:hint="default"/>
      </w:rPr>
    </w:lvl>
    <w:lvl w:ilvl="1" w:tplc="08090003" w:tentative="1">
      <w:start w:val="1"/>
      <w:numFmt w:val="bullet"/>
      <w:lvlText w:val="o"/>
      <w:lvlJc w:val="left"/>
      <w:pPr>
        <w:ind w:left="1494" w:hanging="360"/>
      </w:pPr>
      <w:rPr>
        <w:rFonts w:ascii="Courier New" w:hAnsi="Courier New" w:cs="Courier New" w:hint="default"/>
      </w:rPr>
    </w:lvl>
    <w:lvl w:ilvl="2" w:tplc="08090005" w:tentative="1">
      <w:start w:val="1"/>
      <w:numFmt w:val="bullet"/>
      <w:lvlText w:val=""/>
      <w:lvlJc w:val="left"/>
      <w:pPr>
        <w:ind w:left="2214" w:hanging="360"/>
      </w:pPr>
      <w:rPr>
        <w:rFonts w:ascii="Wingdings" w:hAnsi="Wingdings" w:hint="default"/>
      </w:rPr>
    </w:lvl>
    <w:lvl w:ilvl="3" w:tplc="08090001" w:tentative="1">
      <w:start w:val="1"/>
      <w:numFmt w:val="bullet"/>
      <w:lvlText w:val=""/>
      <w:lvlJc w:val="left"/>
      <w:pPr>
        <w:ind w:left="2934" w:hanging="360"/>
      </w:pPr>
      <w:rPr>
        <w:rFonts w:ascii="Symbol" w:hAnsi="Symbol" w:hint="default"/>
      </w:rPr>
    </w:lvl>
    <w:lvl w:ilvl="4" w:tplc="08090003" w:tentative="1">
      <w:start w:val="1"/>
      <w:numFmt w:val="bullet"/>
      <w:lvlText w:val="o"/>
      <w:lvlJc w:val="left"/>
      <w:pPr>
        <w:ind w:left="3654" w:hanging="360"/>
      </w:pPr>
      <w:rPr>
        <w:rFonts w:ascii="Courier New" w:hAnsi="Courier New" w:cs="Courier New" w:hint="default"/>
      </w:rPr>
    </w:lvl>
    <w:lvl w:ilvl="5" w:tplc="08090005" w:tentative="1">
      <w:start w:val="1"/>
      <w:numFmt w:val="bullet"/>
      <w:lvlText w:val=""/>
      <w:lvlJc w:val="left"/>
      <w:pPr>
        <w:ind w:left="4374" w:hanging="360"/>
      </w:pPr>
      <w:rPr>
        <w:rFonts w:ascii="Wingdings" w:hAnsi="Wingdings" w:hint="default"/>
      </w:rPr>
    </w:lvl>
    <w:lvl w:ilvl="6" w:tplc="08090001" w:tentative="1">
      <w:start w:val="1"/>
      <w:numFmt w:val="bullet"/>
      <w:lvlText w:val=""/>
      <w:lvlJc w:val="left"/>
      <w:pPr>
        <w:ind w:left="5094" w:hanging="360"/>
      </w:pPr>
      <w:rPr>
        <w:rFonts w:ascii="Symbol" w:hAnsi="Symbol" w:hint="default"/>
      </w:rPr>
    </w:lvl>
    <w:lvl w:ilvl="7" w:tplc="08090003" w:tentative="1">
      <w:start w:val="1"/>
      <w:numFmt w:val="bullet"/>
      <w:lvlText w:val="o"/>
      <w:lvlJc w:val="left"/>
      <w:pPr>
        <w:ind w:left="5814" w:hanging="360"/>
      </w:pPr>
      <w:rPr>
        <w:rFonts w:ascii="Courier New" w:hAnsi="Courier New" w:cs="Courier New" w:hint="default"/>
      </w:rPr>
    </w:lvl>
    <w:lvl w:ilvl="8" w:tplc="08090005" w:tentative="1">
      <w:start w:val="1"/>
      <w:numFmt w:val="bullet"/>
      <w:lvlText w:val=""/>
      <w:lvlJc w:val="left"/>
      <w:pPr>
        <w:ind w:left="6534" w:hanging="360"/>
      </w:pPr>
      <w:rPr>
        <w:rFonts w:ascii="Wingdings" w:hAnsi="Wingdings" w:hint="default"/>
      </w:rPr>
    </w:lvl>
  </w:abstractNum>
  <w:abstractNum w:abstractNumId="8" w15:restartNumberingAfterBreak="0">
    <w:nsid w:val="70913118"/>
    <w:multiLevelType w:val="hybridMultilevel"/>
    <w:tmpl w:val="63646F62"/>
    <w:lvl w:ilvl="0" w:tplc="446C4F3A">
      <w:start w:val="1"/>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5"/>
  </w:num>
  <w:num w:numId="7">
    <w:abstractNumId w:val="6"/>
  </w:num>
  <w:num w:numId="8">
    <w:abstractNumId w:val="4"/>
  </w:num>
  <w:num w:numId="9">
    <w:abstractNumId w:val="8"/>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346C"/>
    <w:rsid w:val="000136AD"/>
    <w:rsid w:val="00016557"/>
    <w:rsid w:val="00023C40"/>
    <w:rsid w:val="00033397"/>
    <w:rsid w:val="00040095"/>
    <w:rsid w:val="00044E65"/>
    <w:rsid w:val="00056A9B"/>
    <w:rsid w:val="00073C9C"/>
    <w:rsid w:val="00080512"/>
    <w:rsid w:val="00081620"/>
    <w:rsid w:val="0008194D"/>
    <w:rsid w:val="00086B4C"/>
    <w:rsid w:val="00090468"/>
    <w:rsid w:val="00091419"/>
    <w:rsid w:val="00094568"/>
    <w:rsid w:val="0009792B"/>
    <w:rsid w:val="000B415A"/>
    <w:rsid w:val="000B5526"/>
    <w:rsid w:val="000B7324"/>
    <w:rsid w:val="000B7BCF"/>
    <w:rsid w:val="000C522B"/>
    <w:rsid w:val="000C6B64"/>
    <w:rsid w:val="000D58AB"/>
    <w:rsid w:val="000E1289"/>
    <w:rsid w:val="000E7CA0"/>
    <w:rsid w:val="000F51CC"/>
    <w:rsid w:val="00100EE5"/>
    <w:rsid w:val="00112F1A"/>
    <w:rsid w:val="00127641"/>
    <w:rsid w:val="00130C5D"/>
    <w:rsid w:val="00145075"/>
    <w:rsid w:val="00160D68"/>
    <w:rsid w:val="00161C7F"/>
    <w:rsid w:val="001741A0"/>
    <w:rsid w:val="00175FA0"/>
    <w:rsid w:val="00176092"/>
    <w:rsid w:val="00184196"/>
    <w:rsid w:val="00194CD0"/>
    <w:rsid w:val="001B0C4A"/>
    <w:rsid w:val="001B2E90"/>
    <w:rsid w:val="001B49C9"/>
    <w:rsid w:val="001C23F4"/>
    <w:rsid w:val="001C4F79"/>
    <w:rsid w:val="001E6FCE"/>
    <w:rsid w:val="001F168B"/>
    <w:rsid w:val="001F68C6"/>
    <w:rsid w:val="001F7831"/>
    <w:rsid w:val="00204045"/>
    <w:rsid w:val="0020712B"/>
    <w:rsid w:val="00211D00"/>
    <w:rsid w:val="0022606D"/>
    <w:rsid w:val="002302A8"/>
    <w:rsid w:val="00231728"/>
    <w:rsid w:val="00244A05"/>
    <w:rsid w:val="002470F1"/>
    <w:rsid w:val="002477E8"/>
    <w:rsid w:val="00250404"/>
    <w:rsid w:val="00260052"/>
    <w:rsid w:val="002610D8"/>
    <w:rsid w:val="00264557"/>
    <w:rsid w:val="002747EC"/>
    <w:rsid w:val="002805BD"/>
    <w:rsid w:val="002855BF"/>
    <w:rsid w:val="002962D7"/>
    <w:rsid w:val="002976A9"/>
    <w:rsid w:val="002E315D"/>
    <w:rsid w:val="002F0D22"/>
    <w:rsid w:val="003072F4"/>
    <w:rsid w:val="00311B17"/>
    <w:rsid w:val="00312F19"/>
    <w:rsid w:val="00316E97"/>
    <w:rsid w:val="003172DC"/>
    <w:rsid w:val="00325AE3"/>
    <w:rsid w:val="00326069"/>
    <w:rsid w:val="003318EC"/>
    <w:rsid w:val="00343CCC"/>
    <w:rsid w:val="00351312"/>
    <w:rsid w:val="0035462D"/>
    <w:rsid w:val="0036459E"/>
    <w:rsid w:val="00364B41"/>
    <w:rsid w:val="00383096"/>
    <w:rsid w:val="003860EF"/>
    <w:rsid w:val="0039346C"/>
    <w:rsid w:val="00395D6A"/>
    <w:rsid w:val="003A1629"/>
    <w:rsid w:val="003A41EF"/>
    <w:rsid w:val="003B40AD"/>
    <w:rsid w:val="003C4E37"/>
    <w:rsid w:val="003D33C2"/>
    <w:rsid w:val="003E16BE"/>
    <w:rsid w:val="003F430B"/>
    <w:rsid w:val="003F4E28"/>
    <w:rsid w:val="004006E8"/>
    <w:rsid w:val="00401855"/>
    <w:rsid w:val="004043E2"/>
    <w:rsid w:val="004076D3"/>
    <w:rsid w:val="0046053C"/>
    <w:rsid w:val="00465587"/>
    <w:rsid w:val="00472587"/>
    <w:rsid w:val="00477455"/>
    <w:rsid w:val="00483608"/>
    <w:rsid w:val="00487321"/>
    <w:rsid w:val="00491993"/>
    <w:rsid w:val="004959BA"/>
    <w:rsid w:val="004A1F7B"/>
    <w:rsid w:val="004B4986"/>
    <w:rsid w:val="004C44D2"/>
    <w:rsid w:val="004D3578"/>
    <w:rsid w:val="004D380D"/>
    <w:rsid w:val="004E213A"/>
    <w:rsid w:val="004F4540"/>
    <w:rsid w:val="004F73A7"/>
    <w:rsid w:val="00503171"/>
    <w:rsid w:val="00503D84"/>
    <w:rsid w:val="00506C28"/>
    <w:rsid w:val="005163CB"/>
    <w:rsid w:val="00522881"/>
    <w:rsid w:val="00531C4C"/>
    <w:rsid w:val="00534DA0"/>
    <w:rsid w:val="00535620"/>
    <w:rsid w:val="005410D8"/>
    <w:rsid w:val="005421D7"/>
    <w:rsid w:val="00543E6C"/>
    <w:rsid w:val="00547584"/>
    <w:rsid w:val="00565087"/>
    <w:rsid w:val="0056573F"/>
    <w:rsid w:val="00571279"/>
    <w:rsid w:val="00585830"/>
    <w:rsid w:val="005A1059"/>
    <w:rsid w:val="005A49C6"/>
    <w:rsid w:val="005D015A"/>
    <w:rsid w:val="005E1909"/>
    <w:rsid w:val="00611566"/>
    <w:rsid w:val="00631939"/>
    <w:rsid w:val="00637A72"/>
    <w:rsid w:val="00646D99"/>
    <w:rsid w:val="006540DD"/>
    <w:rsid w:val="00656910"/>
    <w:rsid w:val="006574C0"/>
    <w:rsid w:val="00661A04"/>
    <w:rsid w:val="00661FD2"/>
    <w:rsid w:val="006654D2"/>
    <w:rsid w:val="006666A4"/>
    <w:rsid w:val="00696821"/>
    <w:rsid w:val="006B117C"/>
    <w:rsid w:val="006B6DAA"/>
    <w:rsid w:val="006C66D8"/>
    <w:rsid w:val="006D1E24"/>
    <w:rsid w:val="006D35DE"/>
    <w:rsid w:val="006E1417"/>
    <w:rsid w:val="006E70EC"/>
    <w:rsid w:val="006E798D"/>
    <w:rsid w:val="006F6A2C"/>
    <w:rsid w:val="00700EB8"/>
    <w:rsid w:val="007069DC"/>
    <w:rsid w:val="00710201"/>
    <w:rsid w:val="0071337B"/>
    <w:rsid w:val="0072073A"/>
    <w:rsid w:val="007342B5"/>
    <w:rsid w:val="00734A5B"/>
    <w:rsid w:val="0074318A"/>
    <w:rsid w:val="00744E76"/>
    <w:rsid w:val="00757D40"/>
    <w:rsid w:val="007662B5"/>
    <w:rsid w:val="007806CA"/>
    <w:rsid w:val="00781F0F"/>
    <w:rsid w:val="0078727C"/>
    <w:rsid w:val="0079049D"/>
    <w:rsid w:val="00793DC5"/>
    <w:rsid w:val="00796823"/>
    <w:rsid w:val="007A2E55"/>
    <w:rsid w:val="007B18D8"/>
    <w:rsid w:val="007C095F"/>
    <w:rsid w:val="007C0A68"/>
    <w:rsid w:val="007C243C"/>
    <w:rsid w:val="007C2DD0"/>
    <w:rsid w:val="007C337E"/>
    <w:rsid w:val="007D661A"/>
    <w:rsid w:val="007F2E08"/>
    <w:rsid w:val="007F52AA"/>
    <w:rsid w:val="008028A4"/>
    <w:rsid w:val="00813245"/>
    <w:rsid w:val="00813D14"/>
    <w:rsid w:val="00822D62"/>
    <w:rsid w:val="00826CC8"/>
    <w:rsid w:val="00833782"/>
    <w:rsid w:val="00834CE8"/>
    <w:rsid w:val="00840DE0"/>
    <w:rsid w:val="00846FA3"/>
    <w:rsid w:val="008557D7"/>
    <w:rsid w:val="008607A8"/>
    <w:rsid w:val="0086354A"/>
    <w:rsid w:val="00873554"/>
    <w:rsid w:val="008768CA"/>
    <w:rsid w:val="0087760D"/>
    <w:rsid w:val="00877EF9"/>
    <w:rsid w:val="00880559"/>
    <w:rsid w:val="008870C4"/>
    <w:rsid w:val="008B5306"/>
    <w:rsid w:val="008B58EF"/>
    <w:rsid w:val="008C11AB"/>
    <w:rsid w:val="008C2E2A"/>
    <w:rsid w:val="008C3057"/>
    <w:rsid w:val="008C64FE"/>
    <w:rsid w:val="008D2E4D"/>
    <w:rsid w:val="008F396F"/>
    <w:rsid w:val="008F3DCD"/>
    <w:rsid w:val="008F5BA6"/>
    <w:rsid w:val="009018E3"/>
    <w:rsid w:val="0090271F"/>
    <w:rsid w:val="00902DB9"/>
    <w:rsid w:val="0090466A"/>
    <w:rsid w:val="00904D57"/>
    <w:rsid w:val="009176AC"/>
    <w:rsid w:val="00921415"/>
    <w:rsid w:val="00923655"/>
    <w:rsid w:val="00923740"/>
    <w:rsid w:val="00936071"/>
    <w:rsid w:val="009376CD"/>
    <w:rsid w:val="00940212"/>
    <w:rsid w:val="00942EC2"/>
    <w:rsid w:val="009474E1"/>
    <w:rsid w:val="00957581"/>
    <w:rsid w:val="00961B32"/>
    <w:rsid w:val="00962509"/>
    <w:rsid w:val="00970DB3"/>
    <w:rsid w:val="00971375"/>
    <w:rsid w:val="00973626"/>
    <w:rsid w:val="00974BB0"/>
    <w:rsid w:val="00975BCD"/>
    <w:rsid w:val="00976FEB"/>
    <w:rsid w:val="009928A9"/>
    <w:rsid w:val="009941B2"/>
    <w:rsid w:val="009A0AF3"/>
    <w:rsid w:val="009B07CD"/>
    <w:rsid w:val="009B5E29"/>
    <w:rsid w:val="009C19E9"/>
    <w:rsid w:val="009D74A6"/>
    <w:rsid w:val="009E0E87"/>
    <w:rsid w:val="009E18B7"/>
    <w:rsid w:val="00A10F02"/>
    <w:rsid w:val="00A15270"/>
    <w:rsid w:val="00A204CA"/>
    <w:rsid w:val="00A209D6"/>
    <w:rsid w:val="00A22738"/>
    <w:rsid w:val="00A358EE"/>
    <w:rsid w:val="00A3679C"/>
    <w:rsid w:val="00A430EC"/>
    <w:rsid w:val="00A53724"/>
    <w:rsid w:val="00A54827"/>
    <w:rsid w:val="00A54B2B"/>
    <w:rsid w:val="00A76CE6"/>
    <w:rsid w:val="00A77903"/>
    <w:rsid w:val="00A82346"/>
    <w:rsid w:val="00A9671C"/>
    <w:rsid w:val="00AA1553"/>
    <w:rsid w:val="00AB1C1D"/>
    <w:rsid w:val="00AB3FFE"/>
    <w:rsid w:val="00AC0DED"/>
    <w:rsid w:val="00AC330F"/>
    <w:rsid w:val="00AC45D6"/>
    <w:rsid w:val="00AE544D"/>
    <w:rsid w:val="00AE67E6"/>
    <w:rsid w:val="00B05380"/>
    <w:rsid w:val="00B05962"/>
    <w:rsid w:val="00B112BC"/>
    <w:rsid w:val="00B15449"/>
    <w:rsid w:val="00B16C2F"/>
    <w:rsid w:val="00B27303"/>
    <w:rsid w:val="00B47FD1"/>
    <w:rsid w:val="00B516BB"/>
    <w:rsid w:val="00B543C6"/>
    <w:rsid w:val="00B6611C"/>
    <w:rsid w:val="00B71370"/>
    <w:rsid w:val="00B7538C"/>
    <w:rsid w:val="00B84DB2"/>
    <w:rsid w:val="00BA0B58"/>
    <w:rsid w:val="00BA1475"/>
    <w:rsid w:val="00BA3590"/>
    <w:rsid w:val="00BB58A8"/>
    <w:rsid w:val="00BC0D1C"/>
    <w:rsid w:val="00BC3555"/>
    <w:rsid w:val="00BD0F69"/>
    <w:rsid w:val="00BD5586"/>
    <w:rsid w:val="00BE2BF3"/>
    <w:rsid w:val="00BF09B9"/>
    <w:rsid w:val="00C12B51"/>
    <w:rsid w:val="00C219A0"/>
    <w:rsid w:val="00C24650"/>
    <w:rsid w:val="00C25465"/>
    <w:rsid w:val="00C30C33"/>
    <w:rsid w:val="00C33079"/>
    <w:rsid w:val="00C55A12"/>
    <w:rsid w:val="00C6553E"/>
    <w:rsid w:val="00C83A13"/>
    <w:rsid w:val="00C855FF"/>
    <w:rsid w:val="00C86F10"/>
    <w:rsid w:val="00C9068C"/>
    <w:rsid w:val="00C91605"/>
    <w:rsid w:val="00C92967"/>
    <w:rsid w:val="00C958C5"/>
    <w:rsid w:val="00CA3D0C"/>
    <w:rsid w:val="00CA406C"/>
    <w:rsid w:val="00CA654B"/>
    <w:rsid w:val="00CA6C2C"/>
    <w:rsid w:val="00CB5236"/>
    <w:rsid w:val="00CB5C9D"/>
    <w:rsid w:val="00CB72B8"/>
    <w:rsid w:val="00CC6130"/>
    <w:rsid w:val="00CD0BA8"/>
    <w:rsid w:val="00CD4C7B"/>
    <w:rsid w:val="00CD58FE"/>
    <w:rsid w:val="00CE4375"/>
    <w:rsid w:val="00CF48BF"/>
    <w:rsid w:val="00D21890"/>
    <w:rsid w:val="00D25C0B"/>
    <w:rsid w:val="00D33BE3"/>
    <w:rsid w:val="00D3792D"/>
    <w:rsid w:val="00D55E47"/>
    <w:rsid w:val="00D62E19"/>
    <w:rsid w:val="00D67CD1"/>
    <w:rsid w:val="00D738D6"/>
    <w:rsid w:val="00D80795"/>
    <w:rsid w:val="00D854BE"/>
    <w:rsid w:val="00D87E00"/>
    <w:rsid w:val="00D9134D"/>
    <w:rsid w:val="00D9429F"/>
    <w:rsid w:val="00D96D11"/>
    <w:rsid w:val="00DA17A4"/>
    <w:rsid w:val="00DA3CC3"/>
    <w:rsid w:val="00DA4A5C"/>
    <w:rsid w:val="00DA7A03"/>
    <w:rsid w:val="00DB0DB8"/>
    <w:rsid w:val="00DB1818"/>
    <w:rsid w:val="00DC309B"/>
    <w:rsid w:val="00DC4DA2"/>
    <w:rsid w:val="00DC5261"/>
    <w:rsid w:val="00DE25D2"/>
    <w:rsid w:val="00DF2C5D"/>
    <w:rsid w:val="00E16F8B"/>
    <w:rsid w:val="00E240A9"/>
    <w:rsid w:val="00E46503"/>
    <w:rsid w:val="00E46C08"/>
    <w:rsid w:val="00E471CF"/>
    <w:rsid w:val="00E6160F"/>
    <w:rsid w:val="00E62835"/>
    <w:rsid w:val="00E77645"/>
    <w:rsid w:val="00E83697"/>
    <w:rsid w:val="00E859B6"/>
    <w:rsid w:val="00EA66C9"/>
    <w:rsid w:val="00EB4628"/>
    <w:rsid w:val="00EB78E2"/>
    <w:rsid w:val="00EC2F1E"/>
    <w:rsid w:val="00EC4A25"/>
    <w:rsid w:val="00EE1BA8"/>
    <w:rsid w:val="00EF612C"/>
    <w:rsid w:val="00F025A2"/>
    <w:rsid w:val="00F036E9"/>
    <w:rsid w:val="00F07388"/>
    <w:rsid w:val="00F2026E"/>
    <w:rsid w:val="00F2210A"/>
    <w:rsid w:val="00F31372"/>
    <w:rsid w:val="00F37743"/>
    <w:rsid w:val="00F40A6D"/>
    <w:rsid w:val="00F54A3D"/>
    <w:rsid w:val="00F54CB0"/>
    <w:rsid w:val="00F579CD"/>
    <w:rsid w:val="00F64585"/>
    <w:rsid w:val="00F653B8"/>
    <w:rsid w:val="00F71B89"/>
    <w:rsid w:val="00F7353C"/>
    <w:rsid w:val="00F73CB1"/>
    <w:rsid w:val="00F76F8F"/>
    <w:rsid w:val="00F941DF"/>
    <w:rsid w:val="00F9505C"/>
    <w:rsid w:val="00FA0EAE"/>
    <w:rsid w:val="00FA1266"/>
    <w:rsid w:val="00FA1DFB"/>
    <w:rsid w:val="00FB36FA"/>
    <w:rsid w:val="00FC1192"/>
    <w:rsid w:val="00FC252D"/>
    <w:rsid w:val="00FD50BE"/>
    <w:rsid w:val="00FE106D"/>
    <w:rsid w:val="00FE251B"/>
    <w:rsid w:val="33638D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9744DE5"/>
  <w15:chartTrackingRefBased/>
  <w15:docId w15:val="{8D568364-8719-4A67-81A8-72E0F79E02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B713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B7324"/>
    <w:pPr>
      <w:ind w:left="720"/>
      <w:contextualSpacing/>
    </w:pPr>
  </w:style>
  <w:style w:type="character" w:styleId="CommentReference">
    <w:name w:val="annotation reference"/>
    <w:basedOn w:val="DefaultParagraphFont"/>
    <w:rsid w:val="006B6DAA"/>
    <w:rPr>
      <w:sz w:val="16"/>
      <w:szCs w:val="16"/>
    </w:rPr>
  </w:style>
  <w:style w:type="paragraph" w:styleId="CommentText">
    <w:name w:val="annotation text"/>
    <w:basedOn w:val="Normal"/>
    <w:link w:val="CommentTextChar"/>
    <w:rsid w:val="006B6DAA"/>
  </w:style>
  <w:style w:type="character" w:customStyle="1" w:styleId="CommentTextChar">
    <w:name w:val="Comment Text Char"/>
    <w:basedOn w:val="DefaultParagraphFont"/>
    <w:link w:val="CommentText"/>
    <w:rsid w:val="006B6DAA"/>
    <w:rPr>
      <w:lang w:eastAsia="en-US"/>
    </w:rPr>
  </w:style>
  <w:style w:type="paragraph" w:styleId="CommentSubject">
    <w:name w:val="annotation subject"/>
    <w:basedOn w:val="CommentText"/>
    <w:next w:val="CommentText"/>
    <w:link w:val="CommentSubjectChar"/>
    <w:rsid w:val="006B6DAA"/>
    <w:rPr>
      <w:b/>
      <w:bCs/>
    </w:rPr>
  </w:style>
  <w:style w:type="character" w:customStyle="1" w:styleId="CommentSubjectChar">
    <w:name w:val="Comment Subject Char"/>
    <w:basedOn w:val="CommentTextChar"/>
    <w:link w:val="CommentSubject"/>
    <w:rsid w:val="006B6DAA"/>
    <w:rPr>
      <w:b/>
      <w:bCs/>
      <w:lang w:eastAsia="en-US"/>
    </w:rPr>
  </w:style>
  <w:style w:type="paragraph" w:styleId="Caption">
    <w:name w:val="caption"/>
    <w:basedOn w:val="Normal"/>
    <w:next w:val="Normal"/>
    <w:unhideWhenUsed/>
    <w:qFormat/>
    <w:rsid w:val="00C855FF"/>
    <w:pPr>
      <w:spacing w:after="200"/>
    </w:pPr>
    <w:rPr>
      <w:i/>
      <w:iCs/>
      <w:color w:val="44546A" w:themeColor="text2"/>
      <w:sz w:val="18"/>
      <w:szCs w:val="18"/>
    </w:rPr>
  </w:style>
  <w:style w:type="character" w:styleId="Mention">
    <w:name w:val="Mention"/>
    <w:basedOn w:val="DefaultParagraphFont"/>
    <w:uiPriority w:val="99"/>
    <w:unhideWhenUsed/>
    <w:rsid w:val="0008162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ile:///C:/Users/stanczak/Data/3GPP/Extracts/R2-2100744.doc"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5AIRPNAIUNRU-859666464-8447</_dlc_DocId>
    <_dlc_DocIdUrl xmlns="71c5aaf6-e6ce-465b-b873-5148d2a4c105">
      <Url>https://nokia.sharepoint.com/sites/c5g/e2earch/_layouts/15/DocIdRedir.aspx?ID=5AIRPNAIUNRU-859666464-8447</Url>
      <Description>5AIRPNAIUNRU-859666464-8447</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27C9471-AFB9-4AF0-B224-43A732733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A40FBC0-AF5B-4F70-99B3-B58B8A9F99C6}">
  <ds:schemaRefs>
    <ds:schemaRef ds:uri="http://schemas.openxmlformats.org/officeDocument/2006/bibliography"/>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ED1FF41-9130-4FBF-B742-64100F73850B}">
  <ds:schemaRefs>
    <ds:schemaRef ds:uri="http://purl.org/dc/elements/1.1/"/>
    <ds:schemaRef ds:uri="http://schemas.microsoft.com/office/2006/metadata/properties"/>
    <ds:schemaRef ds:uri="71c5aaf6-e6ce-465b-b873-5148d2a4c105"/>
    <ds:schemaRef ds:uri="http://purl.org/dc/terms/"/>
    <ds:schemaRef ds:uri="http://schemas.microsoft.com/office/2006/documentManagement/types"/>
    <ds:schemaRef ds:uri="a3840f4f-04be-43d1-b2ef-6ff1382503c7"/>
    <ds:schemaRef ds:uri="http://purl.org/dc/dcmitype/"/>
    <ds:schemaRef ds:uri="http://schemas.microsoft.com/office/infopath/2007/PartnerControls"/>
    <ds:schemaRef ds:uri="83f22d2f-d16e-4be6-ad4f-29fa0b067c3c"/>
    <ds:schemaRef ds:uri="http://schemas.openxmlformats.org/package/2006/metadata/core-properties"/>
    <ds:schemaRef ds:uri="3b34c8f0-1ef5-4d1e-bb66-517ce7fe7356"/>
    <ds:schemaRef ds:uri="http://www.w3.org/XML/1998/namespace"/>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6.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186</TotalTime>
  <Pages>5</Pages>
  <Words>2357</Words>
  <Characters>12295</Characters>
  <Application>Microsoft Office Word</Application>
  <DocSecurity>0</DocSecurity>
  <Lines>102</Lines>
  <Paragraphs>29</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14623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134</cp:revision>
  <dcterms:created xsi:type="dcterms:W3CDTF">2021-03-16T12:34:00Z</dcterms:created>
  <dcterms:modified xsi:type="dcterms:W3CDTF">2021-04-01T07:30:00Z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d957aeeb-b9c6-48ed-9258-2684a79b8d1a</vt:lpwstr>
  </property>
</Properties>
</file>